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D9379F" w:rsidRPr="00706A1A" w14:paraId="5B840E1D" w14:textId="77777777" w:rsidTr="00706A1A">
        <w:tc>
          <w:tcPr>
            <w:tcW w:w="2178" w:type="dxa"/>
            <w:shd w:val="clear" w:color="auto" w:fill="2F5496"/>
          </w:tcPr>
          <w:p w14:paraId="1B73E87D" w14:textId="5DFD8E8B" w:rsidR="00D9379F" w:rsidRPr="00706A1A" w:rsidRDefault="00D9379F" w:rsidP="00706A1A">
            <w:pPr>
              <w:rPr>
                <w:rFonts w:ascii="Arial" w:hAnsi="Arial" w:cs="Arial"/>
                <w:b/>
                <w:bCs/>
                <w:color w:val="FFFFFF"/>
              </w:rPr>
            </w:pPr>
            <w:bookmarkStart w:id="0" w:name="_Hlk100135054"/>
            <w:r w:rsidRPr="00706A1A">
              <w:rPr>
                <w:rFonts w:ascii="Arial" w:hAnsi="Arial" w:cs="Arial"/>
                <w:b/>
                <w:bCs/>
                <w:color w:val="FFFFFF"/>
              </w:rPr>
              <w:t xml:space="preserve">Position </w:t>
            </w:r>
            <w:r w:rsidR="00BA11BF" w:rsidRPr="00706A1A">
              <w:rPr>
                <w:rFonts w:ascii="Arial" w:hAnsi="Arial" w:cs="Arial"/>
                <w:b/>
                <w:bCs/>
                <w:color w:val="FFFFFF"/>
              </w:rPr>
              <w:t>N</w:t>
            </w:r>
            <w:r w:rsidRPr="00706A1A">
              <w:rPr>
                <w:rFonts w:ascii="Arial" w:hAnsi="Arial" w:cs="Arial"/>
                <w:b/>
                <w:bCs/>
                <w:color w:val="FFFFFF"/>
              </w:rPr>
              <w:t xml:space="preserve">ame </w:t>
            </w:r>
          </w:p>
        </w:tc>
        <w:tc>
          <w:tcPr>
            <w:tcW w:w="8460" w:type="dxa"/>
            <w:shd w:val="clear" w:color="auto" w:fill="2F5496"/>
          </w:tcPr>
          <w:p w14:paraId="48AACCEA" w14:textId="1FF329FF" w:rsidR="00D9379F" w:rsidRPr="002149D3" w:rsidRDefault="009A4BDB" w:rsidP="00706A1A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Babysitter</w:t>
            </w:r>
          </w:p>
        </w:tc>
      </w:tr>
      <w:tr w:rsidR="008455D7" w:rsidRPr="00706A1A" w14:paraId="55E049A8" w14:textId="77777777" w:rsidTr="00706A1A">
        <w:tc>
          <w:tcPr>
            <w:tcW w:w="2178" w:type="dxa"/>
            <w:shd w:val="clear" w:color="auto" w:fill="D9E2F3"/>
          </w:tcPr>
          <w:p w14:paraId="741E57F5" w14:textId="77777777" w:rsidR="00D9379F" w:rsidRPr="00B37BA2" w:rsidRDefault="00D9379F" w:rsidP="00706A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7B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Role </w:t>
            </w:r>
            <w:r w:rsidR="00BA11BF" w:rsidRPr="00B37BA2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B37B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escription </w:t>
            </w:r>
          </w:p>
        </w:tc>
        <w:tc>
          <w:tcPr>
            <w:tcW w:w="8460" w:type="dxa"/>
            <w:shd w:val="clear" w:color="auto" w:fill="F2F2F2"/>
          </w:tcPr>
          <w:p w14:paraId="4B2141A6" w14:textId="40EF6DFB" w:rsidR="00D9379F" w:rsidRPr="00505418" w:rsidRDefault="00992E96" w:rsidP="00706A1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="00034D3B">
              <w:rPr>
                <w:rFonts w:ascii="Arial" w:hAnsi="Arial" w:cs="Arial"/>
                <w:color w:val="000000"/>
                <w:sz w:val="20"/>
                <w:szCs w:val="20"/>
              </w:rPr>
              <w:t>esponsible for</w:t>
            </w:r>
            <w:r w:rsidR="00F81F1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81F13" w:rsidRPr="00F81F13">
              <w:rPr>
                <w:rFonts w:ascii="Arial" w:hAnsi="Arial" w:cs="Arial"/>
                <w:color w:val="000000"/>
                <w:sz w:val="20"/>
                <w:szCs w:val="20"/>
              </w:rPr>
              <w:t xml:space="preserve">care </w:t>
            </w:r>
            <w:r w:rsidR="00034D3B"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  <w:r w:rsidR="00F81F13" w:rsidRPr="00F81F13">
              <w:rPr>
                <w:rFonts w:ascii="Arial" w:hAnsi="Arial" w:cs="Arial"/>
                <w:color w:val="000000"/>
                <w:sz w:val="20"/>
                <w:szCs w:val="20"/>
              </w:rPr>
              <w:t xml:space="preserve"> children on an ongoing or short-term basis.  </w:t>
            </w:r>
            <w:r w:rsidR="00837C57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F81F13" w:rsidRPr="00F81F13">
              <w:rPr>
                <w:rFonts w:ascii="Arial" w:hAnsi="Arial" w:cs="Arial"/>
                <w:color w:val="000000"/>
                <w:sz w:val="20"/>
                <w:szCs w:val="20"/>
              </w:rPr>
              <w:t>are</w:t>
            </w:r>
            <w:r w:rsidR="00837C57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F81F13" w:rsidRPr="00F81F13">
              <w:rPr>
                <w:rFonts w:ascii="Arial" w:hAnsi="Arial" w:cs="Arial"/>
                <w:color w:val="000000"/>
                <w:sz w:val="20"/>
                <w:szCs w:val="20"/>
              </w:rPr>
              <w:t xml:space="preserve"> for the well-being</w:t>
            </w:r>
            <w:r w:rsidR="00034D3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F81F13" w:rsidRPr="00F81F13">
              <w:rPr>
                <w:rFonts w:ascii="Arial" w:hAnsi="Arial" w:cs="Arial"/>
                <w:color w:val="000000"/>
                <w:sz w:val="20"/>
                <w:szCs w:val="20"/>
              </w:rPr>
              <w:t xml:space="preserve">physical and social development of children, assist parents with </w:t>
            </w:r>
            <w:r w:rsidR="00994D7B" w:rsidRPr="00F81F13">
              <w:rPr>
                <w:rFonts w:ascii="Arial" w:hAnsi="Arial" w:cs="Arial"/>
                <w:color w:val="000000"/>
                <w:sz w:val="20"/>
                <w:szCs w:val="20"/>
              </w:rPr>
              <w:t>childcare</w:t>
            </w:r>
            <w:r w:rsidR="00285907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F81F13" w:rsidRPr="00F81F13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may assist with household duties. </w:t>
            </w:r>
            <w:r w:rsidR="00837C57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F81F13" w:rsidRPr="00F81F13">
              <w:rPr>
                <w:rFonts w:ascii="Arial" w:hAnsi="Arial" w:cs="Arial"/>
                <w:color w:val="000000"/>
                <w:sz w:val="20"/>
                <w:szCs w:val="20"/>
              </w:rPr>
              <w:t>rovide care primarily in their own homes or in the children's homes, where they may also reside</w:t>
            </w:r>
          </w:p>
        </w:tc>
      </w:tr>
      <w:tr w:rsidR="008455D7" w:rsidRPr="00706A1A" w14:paraId="5F343715" w14:textId="77777777" w:rsidTr="00706A1A">
        <w:tc>
          <w:tcPr>
            <w:tcW w:w="2178" w:type="dxa"/>
            <w:shd w:val="clear" w:color="auto" w:fill="D9E2F3"/>
          </w:tcPr>
          <w:p w14:paraId="18768F65" w14:textId="77777777" w:rsidR="00D9379F" w:rsidRPr="00B37BA2" w:rsidRDefault="00D9379F" w:rsidP="00706A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7B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Typical </w:t>
            </w:r>
            <w:r w:rsidR="00BA11BF" w:rsidRPr="00B37BA2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B37B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oles and </w:t>
            </w:r>
            <w:r w:rsidR="00BA11BF" w:rsidRPr="00B37BA2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B37B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esponsibilities </w:t>
            </w:r>
          </w:p>
        </w:tc>
        <w:tc>
          <w:tcPr>
            <w:tcW w:w="8460" w:type="dxa"/>
            <w:shd w:val="clear" w:color="auto" w:fill="F2F2F2"/>
          </w:tcPr>
          <w:p w14:paraId="05A0CF84" w14:textId="77777777" w:rsidR="009A4BDB" w:rsidRPr="009A4BDB" w:rsidRDefault="009A4BDB" w:rsidP="009A4BD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A4BDB">
              <w:rPr>
                <w:rFonts w:ascii="Arial" w:hAnsi="Arial" w:cs="Arial"/>
                <w:sz w:val="20"/>
                <w:szCs w:val="20"/>
              </w:rPr>
              <w:t>Supervise and care for children in the absence of regular caregiver</w:t>
            </w:r>
          </w:p>
          <w:p w14:paraId="0545B387" w14:textId="77777777" w:rsidR="009A4BDB" w:rsidRPr="009A4BDB" w:rsidRDefault="009A4BDB" w:rsidP="009A4BD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A4BDB">
              <w:rPr>
                <w:rFonts w:ascii="Arial" w:hAnsi="Arial" w:cs="Arial"/>
                <w:sz w:val="20"/>
                <w:szCs w:val="20"/>
              </w:rPr>
              <w:t>Bathe, dress and feed infants and children</w:t>
            </w:r>
          </w:p>
          <w:p w14:paraId="5E04FAD6" w14:textId="77777777" w:rsidR="009A4BDB" w:rsidRPr="009A4BDB" w:rsidRDefault="009A4BDB" w:rsidP="009A4BD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A4BDB">
              <w:rPr>
                <w:rFonts w:ascii="Arial" w:hAnsi="Arial" w:cs="Arial"/>
                <w:sz w:val="20"/>
                <w:szCs w:val="20"/>
              </w:rPr>
              <w:t>Prepare formulas and change diapers for infants</w:t>
            </w:r>
          </w:p>
          <w:p w14:paraId="0017D7CF" w14:textId="77777777" w:rsidR="009A4BDB" w:rsidRPr="009A4BDB" w:rsidRDefault="009A4BDB" w:rsidP="009A4BD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A4BDB">
              <w:rPr>
                <w:rFonts w:ascii="Arial" w:hAnsi="Arial" w:cs="Arial"/>
                <w:sz w:val="20"/>
                <w:szCs w:val="20"/>
              </w:rPr>
              <w:t>Organize activities such as games and outings to provide amusement and exercise</w:t>
            </w:r>
          </w:p>
          <w:p w14:paraId="58B62848" w14:textId="3DD02495" w:rsidR="00D9379F" w:rsidRPr="009A4BDB" w:rsidRDefault="009A4BDB" w:rsidP="009A4BD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A4BDB">
              <w:rPr>
                <w:rFonts w:ascii="Arial" w:hAnsi="Arial" w:cs="Arial"/>
                <w:sz w:val="20"/>
                <w:szCs w:val="20"/>
              </w:rPr>
              <w:t>May perform housekeeping duties and prepare meals for children according to employer's instructions</w:t>
            </w:r>
          </w:p>
        </w:tc>
      </w:tr>
      <w:tr w:rsidR="008455D7" w:rsidRPr="00706A1A" w14:paraId="293C92E9" w14:textId="77777777" w:rsidTr="00706A1A">
        <w:tc>
          <w:tcPr>
            <w:tcW w:w="10638" w:type="dxa"/>
            <w:gridSpan w:val="2"/>
            <w:tcBorders>
              <w:bottom w:val="single" w:sz="4" w:space="0" w:color="auto"/>
            </w:tcBorders>
            <w:shd w:val="clear" w:color="auto" w:fill="2F5496"/>
          </w:tcPr>
          <w:p w14:paraId="7132142A" w14:textId="77777777" w:rsidR="008455D7" w:rsidRPr="00706A1A" w:rsidRDefault="008455D7" w:rsidP="00706A1A">
            <w:pPr>
              <w:rPr>
                <w:rFonts w:ascii="Graphik Arabic Regular" w:hAnsi="Graphik Arabic Regular" w:cs="Graphik Arabic Regular"/>
                <w:color w:val="FFFFFF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Key </w:t>
            </w:r>
            <w:r w:rsidR="00BA11BF"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>C</w:t>
            </w: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ompetencies </w:t>
            </w:r>
          </w:p>
        </w:tc>
      </w:tr>
      <w:tr w:rsidR="00ED4EAA" w:rsidRPr="00706A1A" w14:paraId="40AF0C1F" w14:textId="77777777" w:rsidTr="00B37BA2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13DCADAB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sz w:val="22"/>
                <w:szCs w:val="22"/>
              </w:rPr>
              <w:t>​</w:t>
            </w: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Science and practice supporting holistic early childhood development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13FF355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impact of early years and importance of addressing child’s holistic development</w:t>
            </w:r>
          </w:p>
        </w:tc>
      </w:tr>
      <w:tr w:rsidR="00ED4EAA" w:rsidRPr="00706A1A" w14:paraId="5DBBB4C7" w14:textId="77777777" w:rsidTr="00B37BA2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1670EB3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04FC4A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evidence-based strategies for promoting child and family development (incl. appropriate use of tech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nology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)</w:t>
            </w:r>
          </w:p>
        </w:tc>
      </w:tr>
      <w:tr w:rsidR="00ED4EAA" w:rsidRPr="00706A1A" w14:paraId="584C14F5" w14:textId="77777777" w:rsidTr="00B37BA2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5132EB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BF3854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understanding of individual differences and ﬂuctuations in children’s development and learning that must be responded to reﬂectively and appropriately</w:t>
            </w:r>
          </w:p>
        </w:tc>
      </w:tr>
      <w:tr w:rsidR="00ED4EAA" w:rsidRPr="00706A1A" w14:paraId="0BF17E63" w14:textId="77777777" w:rsidTr="00B37BA2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9CCEEF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5F9670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appropriate tools and techniques to assess child development; organizing results so information can be used for further assessment and planning purposes in providing timely care and interventions</w:t>
            </w:r>
          </w:p>
        </w:tc>
      </w:tr>
      <w:tr w:rsidR="008455D7" w:rsidRPr="00706A1A" w14:paraId="45D12786" w14:textId="77777777" w:rsidTr="00B37BA2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4A8A5A7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BD00B6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Interact with kindness, warmth and care, expressing respect, appreciation and understanding of individual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needs;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creating a healthy, welcoming and age-appropriate environments for them</w:t>
            </w:r>
          </w:p>
        </w:tc>
      </w:tr>
      <w:tr w:rsidR="008455D7" w:rsidRPr="00706A1A" w14:paraId="3444E7DE" w14:textId="77777777" w:rsidTr="00B37BA2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3E61E9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E314C3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Understand and demonstrate respect for processes,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protocols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procedures for protecting privacy and confidentiality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of the children, respective families and colleagues </w:t>
            </w:r>
          </w:p>
        </w:tc>
      </w:tr>
      <w:tr w:rsidR="00BA11BF" w:rsidRPr="00706A1A" w14:paraId="71A3A0BC" w14:textId="77777777" w:rsidTr="00B37BA2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527FF0F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Child wellness: health, nutrition, </w:t>
            </w:r>
          </w:p>
          <w:p w14:paraId="114CDC6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and safety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CAF06C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science regarding healthy early childhood development and use of strategies with children and their parents to support physical growth, emotional well-being, and adequate nutrition</w:t>
            </w:r>
          </w:p>
        </w:tc>
      </w:tr>
      <w:tr w:rsidR="00BA11BF" w:rsidRPr="00706A1A" w14:paraId="147912F3" w14:textId="77777777" w:rsidTr="00B37BA2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5A3F1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7A3313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influence of adverse childhood experiences on life-long health and social consequences</w:t>
            </w:r>
          </w:p>
        </w:tc>
      </w:tr>
      <w:tr w:rsidR="00BA11BF" w:rsidRPr="00706A1A" w14:paraId="662ED308" w14:textId="77777777" w:rsidTr="00B37BA2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3D8A5F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9636BE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Familiar with child protection laws, policies and protocols for reporting child neglect, abuse,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exploitation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or exposure to violence; taking adequate actions when children are under similar kinds of threat</w:t>
            </w:r>
          </w:p>
        </w:tc>
      </w:tr>
      <w:tr w:rsidR="00BA11BF" w:rsidRPr="00706A1A" w14:paraId="44B8B8ED" w14:textId="77777777" w:rsidTr="00B37BA2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62C58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3FB969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safety issues that affect children and factors and practices that reduce or increase risk to child safety and able to provide first aid / CPR procedures</w:t>
            </w:r>
          </w:p>
        </w:tc>
      </w:tr>
      <w:tr w:rsidR="007662D4" w:rsidRPr="00706A1A" w14:paraId="0F3A91A9" w14:textId="77777777" w:rsidTr="00B37BA2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7D9B366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682491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Promote home and community safety in partnership with parents across all spaces to prevent unintentional injuries, disease, or death of the child</w:t>
            </w:r>
          </w:p>
        </w:tc>
      </w:tr>
      <w:tr w:rsidR="00762D7E" w:rsidRPr="00706A1A" w14:paraId="6D2EB5A1" w14:textId="77777777" w:rsidTr="00B37BA2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54F2AA81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Family and community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C83F3D9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critical importance of the family environment (physical, social...) for child’s wellbeing overall development, functioning, and learning</w:t>
            </w:r>
          </w:p>
        </w:tc>
      </w:tr>
      <w:tr w:rsidR="00762D7E" w:rsidRPr="00706A1A" w14:paraId="44CA7305" w14:textId="77777777" w:rsidTr="00B37BA2">
        <w:tc>
          <w:tcPr>
            <w:tcW w:w="2178" w:type="dxa"/>
            <w:vMerge/>
            <w:shd w:val="clear" w:color="auto" w:fill="D9E2F3"/>
          </w:tcPr>
          <w:p w14:paraId="33FACD9C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7AEB7B5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importance of high-quality interactions between parents and the child, and between practitioners and parents; able to interact with parents in a timely, transparent, respectful, and accountable manner</w:t>
            </w:r>
          </w:p>
        </w:tc>
      </w:tr>
      <w:tr w:rsidR="00762D7E" w:rsidRPr="00706A1A" w14:paraId="4D3DAE4F" w14:textId="77777777" w:rsidTr="00B37BA2">
        <w:tc>
          <w:tcPr>
            <w:tcW w:w="2178" w:type="dxa"/>
            <w:vMerge/>
            <w:shd w:val="clear" w:color="auto" w:fill="D9E2F3"/>
          </w:tcPr>
          <w:p w14:paraId="25AB5F9C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A7FA084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Establish relationships with parents based on mutual understanding,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trust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cooperation; using effective strategies to engage family members with diverse backgrounds using a variety of ways to communicate (e-mail, phone...)</w:t>
            </w:r>
          </w:p>
        </w:tc>
      </w:tr>
      <w:tr w:rsidR="00762D7E" w:rsidRPr="00706A1A" w14:paraId="7C9827D8" w14:textId="77777777" w:rsidTr="00B37BA2">
        <w:tc>
          <w:tcPr>
            <w:tcW w:w="2178" w:type="dxa"/>
            <w:vMerge/>
            <w:shd w:val="clear" w:color="auto" w:fill="D9E2F3"/>
          </w:tcPr>
          <w:p w14:paraId="5254FC0B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5608B1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Listen to and involve parents in all decisions regarding the child’s safety, healthy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development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learning; creates opportunities for parents to strengthen their parental skills</w:t>
            </w:r>
          </w:p>
        </w:tc>
      </w:tr>
      <w:tr w:rsidR="00762D7E" w:rsidRPr="00706A1A" w14:paraId="55B69CDB" w14:textId="77777777" w:rsidTr="00B37BA2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43D767D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4F77E56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community resources to support child and family development and functioning and accordingly able to partner effectively with key stakeholders</w:t>
            </w:r>
          </w:p>
        </w:tc>
      </w:tr>
    </w:tbl>
    <w:bookmarkEnd w:id="0"/>
    <w:p w14:paraId="59AC61E3" w14:textId="77777777" w:rsidR="00EC4F94" w:rsidRPr="00D9379F" w:rsidRDefault="00B37BA2" w:rsidP="00431197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noProof/>
        </w:rPr>
        <w:pict w14:anchorId="384088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alt="A screenshot of a computer&#10;&#10;Description automatically generated with medium confidence" style="position:absolute;margin-left:-44pt;margin-top:-2.25pt;width:611.1pt;height:796pt;z-index:-251659264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D9379F" w:rsidRPr="00706A1A" w14:paraId="59A07CFA" w14:textId="77777777" w:rsidTr="00E846C3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4534239F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lastRenderedPageBreak/>
              <w:t xml:space="preserve">Diversity and inclusion </w:t>
            </w:r>
          </w:p>
        </w:tc>
        <w:tc>
          <w:tcPr>
            <w:tcW w:w="8460" w:type="dxa"/>
            <w:tcBorders>
              <w:top w:val="single" w:sz="4" w:space="0" w:color="auto"/>
            </w:tcBorders>
            <w:shd w:val="clear" w:color="auto" w:fill="F2F2F2"/>
          </w:tcPr>
          <w:p w14:paraId="7C4762A6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Treat all children and their families with fairness, empathy, understanding,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dignity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respect; understanding how discrimination based on diversity can impact lives and prospects of children</w:t>
            </w:r>
          </w:p>
        </w:tc>
      </w:tr>
      <w:tr w:rsidR="00D9379F" w:rsidRPr="00706A1A" w14:paraId="740186FA" w14:textId="77777777" w:rsidTr="00E846C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CE77AA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14:paraId="57585D56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Adapt practices,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communication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services to reflect each child’s and family’s characteristics, strengths, beliefs and special needs</w:t>
            </w:r>
          </w:p>
        </w:tc>
      </w:tr>
      <w:tr w:rsidR="00D9379F" w:rsidRPr="00706A1A" w14:paraId="71DDC442" w14:textId="77777777" w:rsidTr="00E846C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9A423BF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14:paraId="28FC4B34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Use different strategies to make each child and family feel welcomed and respected regardless of their background, language, socio-economic status,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ability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or gender</w:t>
            </w:r>
          </w:p>
        </w:tc>
      </w:tr>
      <w:tr w:rsidR="00D9379F" w:rsidRPr="00706A1A" w14:paraId="775FF0D4" w14:textId="77777777" w:rsidTr="00E846C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63BF04E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14:paraId="322CAFC5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Address own biases toward children,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families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communities to avoid stereotypical or judgmental reactions and to advance child’s development</w:t>
            </w:r>
          </w:p>
        </w:tc>
      </w:tr>
      <w:tr w:rsidR="00D9379F" w:rsidRPr="00706A1A" w14:paraId="06E6833F" w14:textId="77777777" w:rsidTr="00E846C3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36A6F42B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Professionalism and professional growth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/>
          </w:tcPr>
          <w:p w14:paraId="3DF1F8E7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Identify proudly as an ECD professional and promote professional and personal integrity in all interactions, while aware of relevant professional code of conduct for their profession, if applicable</w:t>
            </w:r>
          </w:p>
        </w:tc>
      </w:tr>
      <w:tr w:rsidR="00D9379F" w:rsidRPr="00706A1A" w14:paraId="071B4888" w14:textId="77777777" w:rsidTr="00E846C3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5445CCBF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14:paraId="14CC9275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professional competencies and standards for ECD practitioners as guidance for own professional development and as a continuous learning process</w:t>
            </w:r>
          </w:p>
        </w:tc>
      </w:tr>
      <w:tr w:rsidR="00D9379F" w:rsidRPr="00706A1A" w14:paraId="2A655866" w14:textId="77777777" w:rsidTr="00E846C3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3CBA3B7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14:paraId="4F87DE3B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effective and evidence-based strategies and tools for improving the quality of their practice and aware of Abu Dhabi’s ECD practitioner competencies and standards</w:t>
            </w:r>
          </w:p>
        </w:tc>
      </w:tr>
      <w:tr w:rsidR="00D9379F" w:rsidRPr="00706A1A" w14:paraId="3E815302" w14:textId="77777777" w:rsidTr="00E846C3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CFD082A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622EF531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information from professional meetings, seminars, workshops, as well as print and digital resources to stay abreast of and deepen professional knowledge</w:t>
            </w:r>
          </w:p>
        </w:tc>
      </w:tr>
      <w:tr w:rsidR="00D9379F" w:rsidRPr="00706A1A" w14:paraId="7C36B066" w14:textId="77777777" w:rsidTr="00E846C3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25A5763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Coordination across practitioner roles and professional settings </w:t>
            </w:r>
            <w:r w:rsidR="00D9379F"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/>
          </w:tcPr>
          <w:p w14:paraId="5ED71468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Cooperate and coordinate with others to facilitate children’s and families’ access and transition to services to support overall child and family development and well-being</w:t>
            </w:r>
          </w:p>
        </w:tc>
      </w:tr>
      <w:tr w:rsidR="00D9379F" w:rsidRPr="00706A1A" w14:paraId="3045392A" w14:textId="77777777" w:rsidTr="00E846C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591A28FF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5BA3A6DC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variety of practitioner roles across ECD services; cooperating and coordinating with them for joint planning, service delivery and evaluation of outcomes to support child and family development and well-being</w:t>
            </w:r>
          </w:p>
        </w:tc>
      </w:tr>
      <w:tr w:rsidR="00D9379F" w:rsidRPr="00706A1A" w14:paraId="781E6725" w14:textId="77777777" w:rsidTr="00E846C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6AAEC1AB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/>
          </w:tcPr>
          <w:p w14:paraId="4D48ACEA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Demonstrate collegiality and is respectful of each other’s functions, responsibilities, strengths,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skills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expertise when working with other practitioners</w:t>
            </w:r>
          </w:p>
        </w:tc>
      </w:tr>
      <w:tr w:rsidR="008C5703" w:rsidRPr="00706A1A" w14:paraId="6D30C663" w14:textId="77777777" w:rsidTr="00E846C3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4167E3FD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UAE culture and heritage   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14:paraId="49A229F7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Aware of the UAE’s heritage,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culture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Islamic values; demonstrating appreciation and respect in interactions</w:t>
            </w:r>
          </w:p>
        </w:tc>
      </w:tr>
      <w:tr w:rsidR="008C5703" w:rsidRPr="00706A1A" w14:paraId="6EAFF2AA" w14:textId="77777777" w:rsidTr="00E846C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337C61F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/>
          </w:tcPr>
          <w:p w14:paraId="0DB83402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Aware of the diverse cultures, religions, traditions, ethnicities and races that live in the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UAE;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showing sensitivity while communicating and engaging with the UAE community and promoting core values</w:t>
            </w:r>
          </w:p>
        </w:tc>
      </w:tr>
    </w:tbl>
    <w:p w14:paraId="6EFD4E9A" w14:textId="3DD3B60F" w:rsidR="00EC4F94" w:rsidRDefault="00B37BA2" w:rsidP="00A76804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rFonts w:ascii="Graphik Arabic Regular" w:hAnsi="Graphik Arabic Regular" w:cs="Graphik Arabic Regular"/>
          <w:noProof/>
          <w:sz w:val="28"/>
          <w:szCs w:val="28"/>
        </w:rPr>
        <w:pict w14:anchorId="384088DA">
          <v:shape id="_x0000_s1028" type="#_x0000_t75" alt="A screenshot of a computer&#10;&#10;Description automatically generated with medium confidence" style="position:absolute;margin-left:-45.05pt;margin-top:.3pt;width:611.1pt;height:796pt;z-index:-251658240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p w14:paraId="06BD6B0D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2BC08400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394C945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4DFA2AAA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143AA5B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6BEB1C6E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5AE8AB8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040C77E9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6D60C88F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4FB0884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D827F74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2605444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48D875A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48E4896" w14:textId="77777777" w:rsidR="000E33FC" w:rsidRPr="00C0754A" w:rsidRDefault="000E33FC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sectPr w:rsidR="000E33FC" w:rsidRPr="00C0754A" w:rsidSect="00F132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070" w:right="900" w:bottom="74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E0C59" w14:textId="77777777" w:rsidR="00D7444F" w:rsidRDefault="00D7444F" w:rsidP="0071009D">
      <w:r>
        <w:separator/>
      </w:r>
    </w:p>
  </w:endnote>
  <w:endnote w:type="continuationSeparator" w:id="0">
    <w:p w14:paraId="21312397" w14:textId="77777777" w:rsidR="00D7444F" w:rsidRDefault="00D7444F" w:rsidP="0071009D">
      <w:r>
        <w:continuationSeparator/>
      </w:r>
    </w:p>
  </w:endnote>
  <w:endnote w:type="continuationNotice" w:id="1">
    <w:p w14:paraId="2D7E57C1" w14:textId="77777777" w:rsidR="00D7444F" w:rsidRDefault="00D744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Arabic Regular">
    <w:altName w:val="Arial"/>
    <w:panose1 w:val="00000000000000000000"/>
    <w:charset w:val="B2"/>
    <w:family w:val="auto"/>
    <w:notTrueType/>
    <w:pitch w:val="variable"/>
    <w:sig w:usb0="A000202F" w:usb1="8000245A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CEF6" w14:textId="77777777" w:rsidR="0071009D" w:rsidRDefault="00710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B8C0" w14:textId="77777777" w:rsidR="0071009D" w:rsidRDefault="007100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59CA" w14:textId="77777777" w:rsidR="0071009D" w:rsidRDefault="0071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47798" w14:textId="77777777" w:rsidR="00D7444F" w:rsidRDefault="00D7444F" w:rsidP="0071009D">
      <w:r>
        <w:separator/>
      </w:r>
    </w:p>
  </w:footnote>
  <w:footnote w:type="continuationSeparator" w:id="0">
    <w:p w14:paraId="4203B9D1" w14:textId="77777777" w:rsidR="00D7444F" w:rsidRDefault="00D7444F" w:rsidP="0071009D">
      <w:r>
        <w:continuationSeparator/>
      </w:r>
    </w:p>
  </w:footnote>
  <w:footnote w:type="continuationNotice" w:id="1">
    <w:p w14:paraId="2227C740" w14:textId="77777777" w:rsidR="00D7444F" w:rsidRDefault="00D744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2AFC" w14:textId="77777777" w:rsidR="0071009D" w:rsidRDefault="00710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8328" w14:textId="77777777" w:rsidR="0071009D" w:rsidRDefault="00710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B8F6" w14:textId="77777777" w:rsidR="0071009D" w:rsidRDefault="00710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E187A"/>
    <w:multiLevelType w:val="hybridMultilevel"/>
    <w:tmpl w:val="65D86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F26E9B"/>
    <w:multiLevelType w:val="hybridMultilevel"/>
    <w:tmpl w:val="F37C6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A75529"/>
    <w:multiLevelType w:val="hybridMultilevel"/>
    <w:tmpl w:val="0EB47ABE"/>
    <w:lvl w:ilvl="0" w:tplc="3FA872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4934243">
    <w:abstractNumId w:val="0"/>
  </w:num>
  <w:num w:numId="2" w16cid:durableId="1604339958">
    <w:abstractNumId w:val="1"/>
  </w:num>
  <w:num w:numId="3" w16cid:durableId="1842353037">
    <w:abstractNumId w:val="2"/>
  </w:num>
  <w:num w:numId="4" w16cid:durableId="1951739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20"/>
  <w:characterSpacingControl w:val="doNotCompress"/>
  <w:hdrShapeDefaults>
    <o:shapedefaults v:ext="edit" spidmax="4097">
      <o:colormru v:ext="edit" colors="#f8f8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09D"/>
    <w:rsid w:val="00034D3B"/>
    <w:rsid w:val="00035CF7"/>
    <w:rsid w:val="00057B48"/>
    <w:rsid w:val="000B5550"/>
    <w:rsid w:val="000E33FC"/>
    <w:rsid w:val="00135246"/>
    <w:rsid w:val="00135334"/>
    <w:rsid w:val="001369D1"/>
    <w:rsid w:val="00146855"/>
    <w:rsid w:val="00176186"/>
    <w:rsid w:val="00192407"/>
    <w:rsid w:val="001B4BFA"/>
    <w:rsid w:val="001E6FCF"/>
    <w:rsid w:val="001F4C6A"/>
    <w:rsid w:val="002149D3"/>
    <w:rsid w:val="0022272C"/>
    <w:rsid w:val="00244CE9"/>
    <w:rsid w:val="00285907"/>
    <w:rsid w:val="002A0AE0"/>
    <w:rsid w:val="002C0836"/>
    <w:rsid w:val="002D2B5D"/>
    <w:rsid w:val="002F36D6"/>
    <w:rsid w:val="00367925"/>
    <w:rsid w:val="00380DAE"/>
    <w:rsid w:val="003B09A0"/>
    <w:rsid w:val="003B6733"/>
    <w:rsid w:val="00431197"/>
    <w:rsid w:val="00444C2E"/>
    <w:rsid w:val="004528DA"/>
    <w:rsid w:val="004605C8"/>
    <w:rsid w:val="00483393"/>
    <w:rsid w:val="00496FD7"/>
    <w:rsid w:val="004A28E7"/>
    <w:rsid w:val="004B1BD0"/>
    <w:rsid w:val="004D2954"/>
    <w:rsid w:val="00500E7F"/>
    <w:rsid w:val="00505418"/>
    <w:rsid w:val="00521D67"/>
    <w:rsid w:val="00544B27"/>
    <w:rsid w:val="005B2075"/>
    <w:rsid w:val="00612100"/>
    <w:rsid w:val="00620880"/>
    <w:rsid w:val="0065262A"/>
    <w:rsid w:val="00681804"/>
    <w:rsid w:val="00706A1A"/>
    <w:rsid w:val="0071009D"/>
    <w:rsid w:val="007354DA"/>
    <w:rsid w:val="007626E9"/>
    <w:rsid w:val="00762D7E"/>
    <w:rsid w:val="007662D4"/>
    <w:rsid w:val="007A293B"/>
    <w:rsid w:val="007C2212"/>
    <w:rsid w:val="007F3F09"/>
    <w:rsid w:val="00837C57"/>
    <w:rsid w:val="00840141"/>
    <w:rsid w:val="008455D7"/>
    <w:rsid w:val="00886276"/>
    <w:rsid w:val="008B5992"/>
    <w:rsid w:val="008C5703"/>
    <w:rsid w:val="0090419D"/>
    <w:rsid w:val="00931DC6"/>
    <w:rsid w:val="00992E96"/>
    <w:rsid w:val="00994D7B"/>
    <w:rsid w:val="009A4BDB"/>
    <w:rsid w:val="00A47A5C"/>
    <w:rsid w:val="00A76804"/>
    <w:rsid w:val="00A947E2"/>
    <w:rsid w:val="00B020BF"/>
    <w:rsid w:val="00B1103C"/>
    <w:rsid w:val="00B23391"/>
    <w:rsid w:val="00B37BA2"/>
    <w:rsid w:val="00B57346"/>
    <w:rsid w:val="00BA11BF"/>
    <w:rsid w:val="00BF53AE"/>
    <w:rsid w:val="00C0754A"/>
    <w:rsid w:val="00C87801"/>
    <w:rsid w:val="00CB13C9"/>
    <w:rsid w:val="00D222CE"/>
    <w:rsid w:val="00D73786"/>
    <w:rsid w:val="00D7444F"/>
    <w:rsid w:val="00D9379F"/>
    <w:rsid w:val="00DC5ABE"/>
    <w:rsid w:val="00E1483B"/>
    <w:rsid w:val="00E25694"/>
    <w:rsid w:val="00E55A95"/>
    <w:rsid w:val="00E83644"/>
    <w:rsid w:val="00E846C3"/>
    <w:rsid w:val="00EC4F94"/>
    <w:rsid w:val="00ED3B3B"/>
    <w:rsid w:val="00ED4EAA"/>
    <w:rsid w:val="00F04E8F"/>
    <w:rsid w:val="00F078B2"/>
    <w:rsid w:val="00F13255"/>
    <w:rsid w:val="00F20B6C"/>
    <w:rsid w:val="00F35417"/>
    <w:rsid w:val="00F6114F"/>
    <w:rsid w:val="00F81F13"/>
    <w:rsid w:val="00F9635D"/>
    <w:rsid w:val="00F97987"/>
    <w:rsid w:val="00FB7D5A"/>
    <w:rsid w:val="00FE1E7B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8f8f8"/>
    </o:shapedefaults>
    <o:shapelayout v:ext="edit">
      <o:idmap v:ext="edit" data="1"/>
    </o:shapelayout>
  </w:shapeDefaults>
  <w:decimalSymbol w:val="."/>
  <w:listSeparator w:val=","/>
  <w14:docId w14:val="5A55FC91"/>
  <w15:docId w15:val="{6A4943AC-ADC6-4D3B-9533-3D89F4F3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9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09D"/>
  </w:style>
  <w:style w:type="paragraph" w:styleId="Footer">
    <w:name w:val="footer"/>
    <w:basedOn w:val="Normal"/>
    <w:link w:val="Foot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09D"/>
  </w:style>
  <w:style w:type="paragraph" w:styleId="Revision">
    <w:name w:val="Revision"/>
    <w:hidden/>
    <w:uiPriority w:val="99"/>
    <w:semiHidden/>
    <w:rsid w:val="00F13255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52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8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8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2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E588C3-B571-4D1E-A807-85954F49FD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577E3E-36FA-4490-87E8-55F1582C7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B1E1F-DC48-487F-888F-03207113EF1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cdb7d521-ec3b-43c2-af5c-470a246deab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DA950EF-3860-4EE4-8819-4E94ABDFC1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urbantoun@gmail.com</dc:creator>
  <cp:keywords/>
  <dc:description/>
  <cp:lastModifiedBy>Kushwah, Vibhansh</cp:lastModifiedBy>
  <cp:revision>25</cp:revision>
  <cp:lastPrinted>2022-04-06T06:24:00Z</cp:lastPrinted>
  <dcterms:created xsi:type="dcterms:W3CDTF">2023-05-26T11:11:00Z</dcterms:created>
  <dcterms:modified xsi:type="dcterms:W3CDTF">2023-06-12T07:53:00Z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0x010100C53001F3AE3D8545BA314EEC9388338C</vt:lpwstr>
  </property>
</Properties>
</file>