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7CF43229" w14:textId="77777777" w:rsidTr="00706A1A">
        <w:tc>
          <w:tcPr>
            <w:tcW w:w="2178" w:type="dxa"/>
            <w:shd w:val="clear" w:color="auto" w:fill="2F5496"/>
          </w:tcPr>
          <w:p w14:paraId="66846702" w14:textId="77777777" w:rsidR="00D9379F" w:rsidRPr="00706A1A" w:rsidRDefault="00D9379F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bCs/>
                <w:color w:val="FFFFFF"/>
              </w:rPr>
              <w:t>N</w:t>
            </w:r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/>
          </w:tcPr>
          <w:p w14:paraId="0070A846" w14:textId="219DB169" w:rsidR="00D9379F" w:rsidRPr="00AB2748" w:rsidRDefault="00FF6942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F6942">
              <w:rPr>
                <w:rFonts w:ascii="Arial" w:hAnsi="Arial" w:cs="Arial"/>
                <w:b/>
                <w:bCs/>
                <w:color w:val="FFFFFF"/>
              </w:rPr>
              <w:t xml:space="preserve">ECCE </w:t>
            </w:r>
            <w:r w:rsidR="00CD4473">
              <w:rPr>
                <w:rFonts w:ascii="Arial" w:hAnsi="Arial" w:cs="Arial"/>
                <w:b/>
                <w:bCs/>
                <w:color w:val="FFFFFF"/>
              </w:rPr>
              <w:t>Policymaker</w:t>
            </w:r>
          </w:p>
        </w:tc>
      </w:tr>
      <w:tr w:rsidR="008455D7" w:rsidRPr="00706A1A" w14:paraId="338611F8" w14:textId="77777777" w:rsidTr="00E20077">
        <w:tc>
          <w:tcPr>
            <w:tcW w:w="2178" w:type="dxa"/>
            <w:shd w:val="clear" w:color="auto" w:fill="D9E2F3"/>
          </w:tcPr>
          <w:p w14:paraId="3F353998" w14:textId="77777777" w:rsidR="00D9379F" w:rsidRPr="00E20077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00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E20077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E200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77EF5468" w14:textId="6C23F044" w:rsidR="00D9379F" w:rsidRPr="00F509FC" w:rsidRDefault="000634CB" w:rsidP="00706A1A">
            <w:pPr>
              <w:rPr>
                <w:rFonts w:ascii="Arial" w:hAnsi="Arial" w:cs="Arial"/>
                <w:sz w:val="20"/>
                <w:szCs w:val="20"/>
              </w:rPr>
            </w:pPr>
            <w:r w:rsidRPr="00944B98">
              <w:rPr>
                <w:rFonts w:ascii="Arial" w:hAnsi="Arial" w:cs="Arial"/>
                <w:sz w:val="20"/>
                <w:szCs w:val="20"/>
              </w:rPr>
              <w:t xml:space="preserve">ECD-related position responsible </w:t>
            </w:r>
            <w:r w:rsidR="00CB1CE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6D4FE1">
              <w:rPr>
                <w:rFonts w:ascii="Arial" w:hAnsi="Arial" w:cs="Arial"/>
                <w:sz w:val="20"/>
                <w:szCs w:val="20"/>
              </w:rPr>
              <w:t>working</w:t>
            </w:r>
            <w:r w:rsidR="00F74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DFC" w:rsidRPr="00F74DFC">
              <w:rPr>
                <w:rFonts w:ascii="Arial" w:hAnsi="Arial" w:cs="Arial"/>
                <w:sz w:val="20"/>
                <w:szCs w:val="20"/>
              </w:rPr>
              <w:t xml:space="preserve">with nonprofit organizations and governments at the local, state, and federal levels. </w:t>
            </w:r>
            <w:r w:rsidR="00BD3D2A">
              <w:rPr>
                <w:rFonts w:ascii="Arial" w:hAnsi="Arial" w:cs="Arial"/>
                <w:sz w:val="20"/>
                <w:szCs w:val="20"/>
              </w:rPr>
              <w:t>They c</w:t>
            </w:r>
            <w:r w:rsidR="00F74DFC" w:rsidRPr="00F74DFC">
              <w:rPr>
                <w:rFonts w:ascii="Arial" w:hAnsi="Arial" w:cs="Arial"/>
                <w:sz w:val="20"/>
                <w:szCs w:val="20"/>
              </w:rPr>
              <w:t>onduct both qualitative and quantitative analyses, develop regulations, policies, funding mechanisms, and legislation for early childhood care and education</w:t>
            </w:r>
          </w:p>
        </w:tc>
      </w:tr>
      <w:tr w:rsidR="008455D7" w:rsidRPr="00706A1A" w14:paraId="50EBEDBC" w14:textId="77777777" w:rsidTr="00E20077">
        <w:tc>
          <w:tcPr>
            <w:tcW w:w="2178" w:type="dxa"/>
            <w:shd w:val="clear" w:color="auto" w:fill="D9E2F3"/>
          </w:tcPr>
          <w:p w14:paraId="396C180F" w14:textId="77777777" w:rsidR="00D9379F" w:rsidRPr="00E20077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00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</w:t>
            </w:r>
            <w:r w:rsidR="00BA11BF" w:rsidRPr="00E20077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200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oles and </w:t>
            </w:r>
            <w:r w:rsidR="00BA11BF" w:rsidRPr="00E20077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200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esponsibilities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4B09ED74" w14:textId="75AF55AD" w:rsidR="00AB2748" w:rsidRDefault="00B30BD9" w:rsidP="006D070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30BD9">
              <w:rPr>
                <w:rFonts w:ascii="Arial" w:hAnsi="Arial" w:cs="Arial"/>
                <w:sz w:val="20"/>
                <w:szCs w:val="20"/>
              </w:rPr>
              <w:t xml:space="preserve">Research topics affecting </w:t>
            </w:r>
            <w:r w:rsidR="009A5588" w:rsidRPr="00B30BD9">
              <w:rPr>
                <w:rFonts w:ascii="Arial" w:hAnsi="Arial" w:cs="Arial"/>
                <w:sz w:val="20"/>
                <w:szCs w:val="20"/>
              </w:rPr>
              <w:t>childcare</w:t>
            </w:r>
            <w:r w:rsidRPr="00B30BD9">
              <w:rPr>
                <w:rFonts w:ascii="Arial" w:hAnsi="Arial" w:cs="Arial"/>
                <w:sz w:val="20"/>
                <w:szCs w:val="20"/>
              </w:rPr>
              <w:t xml:space="preserve"> or schooling for young children</w:t>
            </w:r>
          </w:p>
          <w:p w14:paraId="7C7548B6" w14:textId="60036F20" w:rsidR="00B30BD9" w:rsidRDefault="00B30BD9" w:rsidP="006D070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30BD9">
              <w:rPr>
                <w:rFonts w:ascii="Arial" w:hAnsi="Arial" w:cs="Arial"/>
                <w:sz w:val="20"/>
                <w:szCs w:val="20"/>
              </w:rPr>
              <w:t>Collect and analyz</w:t>
            </w:r>
            <w:r w:rsidR="00285442">
              <w:rPr>
                <w:rFonts w:ascii="Arial" w:hAnsi="Arial" w:cs="Arial"/>
                <w:sz w:val="20"/>
                <w:szCs w:val="20"/>
              </w:rPr>
              <w:t>e</w:t>
            </w:r>
            <w:r w:rsidRPr="00B30BD9">
              <w:rPr>
                <w:rFonts w:ascii="Arial" w:hAnsi="Arial" w:cs="Arial"/>
                <w:sz w:val="20"/>
                <w:szCs w:val="20"/>
              </w:rPr>
              <w:t xml:space="preserve"> information, including data from surveys of children, parents, caregivers, social </w:t>
            </w:r>
            <w:r w:rsidR="007D37C1" w:rsidRPr="00B30BD9">
              <w:rPr>
                <w:rFonts w:ascii="Arial" w:hAnsi="Arial" w:cs="Arial"/>
                <w:sz w:val="20"/>
                <w:szCs w:val="20"/>
              </w:rPr>
              <w:t>workers,</w:t>
            </w:r>
            <w:r w:rsidRPr="00B30BD9">
              <w:rPr>
                <w:rFonts w:ascii="Arial" w:hAnsi="Arial" w:cs="Arial"/>
                <w:sz w:val="20"/>
                <w:szCs w:val="20"/>
              </w:rPr>
              <w:t xml:space="preserve"> and teachers</w:t>
            </w:r>
          </w:p>
          <w:p w14:paraId="6B29E878" w14:textId="34CE6039" w:rsidR="00F376B0" w:rsidRDefault="00F376B0" w:rsidP="006D070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Determin</w:t>
            </w:r>
            <w:r w:rsidR="00285442">
              <w:rPr>
                <w:rFonts w:ascii="Arial" w:hAnsi="Arial" w:cs="Arial"/>
                <w:sz w:val="20"/>
                <w:szCs w:val="20"/>
              </w:rPr>
              <w:t>e</w:t>
            </w:r>
            <w:r w:rsidRPr="00F376B0">
              <w:rPr>
                <w:rFonts w:ascii="Arial" w:hAnsi="Arial" w:cs="Arial"/>
                <w:sz w:val="20"/>
                <w:szCs w:val="20"/>
              </w:rPr>
              <w:t xml:space="preserve"> the effect of </w:t>
            </w:r>
            <w:r w:rsidR="009A5588" w:rsidRPr="00F376B0">
              <w:rPr>
                <w:rFonts w:ascii="Arial" w:hAnsi="Arial" w:cs="Arial"/>
                <w:sz w:val="20"/>
                <w:szCs w:val="20"/>
              </w:rPr>
              <w:t>childcare</w:t>
            </w:r>
            <w:r w:rsidRPr="00F376B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D37C1" w:rsidRPr="00F376B0">
              <w:rPr>
                <w:rFonts w:ascii="Arial" w:hAnsi="Arial" w:cs="Arial"/>
                <w:sz w:val="20"/>
                <w:szCs w:val="20"/>
              </w:rPr>
              <w:t>preschool,</w:t>
            </w:r>
            <w:r w:rsidRPr="00F376B0">
              <w:rPr>
                <w:rFonts w:ascii="Arial" w:hAnsi="Arial" w:cs="Arial"/>
                <w:sz w:val="20"/>
                <w:szCs w:val="20"/>
              </w:rPr>
              <w:t xml:space="preserve"> and other interventions on broad economic </w:t>
            </w:r>
            <w:r w:rsidR="00445884">
              <w:rPr>
                <w:rFonts w:ascii="Arial" w:hAnsi="Arial" w:cs="Arial"/>
                <w:sz w:val="20"/>
                <w:szCs w:val="20"/>
              </w:rPr>
              <w:t>outcomes</w:t>
            </w:r>
          </w:p>
          <w:p w14:paraId="13611AA3" w14:textId="6865018B" w:rsidR="009A5588" w:rsidRDefault="009A5588" w:rsidP="006D070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A5588">
              <w:rPr>
                <w:rFonts w:ascii="Arial" w:hAnsi="Arial" w:cs="Arial"/>
                <w:sz w:val="20"/>
                <w:szCs w:val="20"/>
              </w:rPr>
              <w:t>Develop sophisticated forecasts of political, economic, and social trends related to the development of children and families</w:t>
            </w:r>
          </w:p>
          <w:p w14:paraId="57CFE650" w14:textId="05F922CB" w:rsidR="0003066C" w:rsidRDefault="0003066C" w:rsidP="006D070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3066C">
              <w:rPr>
                <w:rFonts w:ascii="Arial" w:hAnsi="Arial" w:cs="Arial"/>
                <w:sz w:val="20"/>
                <w:szCs w:val="20"/>
              </w:rPr>
              <w:t>Conduct cost/benefit analyses and making recommendations to legislators and government officials</w:t>
            </w:r>
          </w:p>
          <w:p w14:paraId="4AB24E57" w14:textId="375C2292" w:rsidR="00490BE0" w:rsidRDefault="0081304F" w:rsidP="00490BE0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90BE0" w:rsidRPr="006C40E8">
              <w:rPr>
                <w:rFonts w:ascii="Arial" w:hAnsi="Arial" w:cs="Arial"/>
                <w:sz w:val="20"/>
                <w:szCs w:val="20"/>
              </w:rPr>
              <w:t>ublish analytical research and editorials</w:t>
            </w:r>
          </w:p>
          <w:p w14:paraId="3D453CE9" w14:textId="77777777" w:rsidR="00285442" w:rsidRDefault="0003066C" w:rsidP="006D070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3066C">
              <w:rPr>
                <w:rFonts w:ascii="Arial" w:hAnsi="Arial" w:cs="Arial"/>
                <w:sz w:val="20"/>
                <w:szCs w:val="20"/>
              </w:rPr>
              <w:t>Assist in the negotiation of contracts between government agencies and private businesses/nonprofit organizations/foundations</w:t>
            </w:r>
          </w:p>
          <w:p w14:paraId="1D1F32C8" w14:textId="285AD0B4" w:rsidR="00185D2A" w:rsidRPr="00185D2A" w:rsidRDefault="00185D2A" w:rsidP="00185D2A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Keep up to date on events, policy decisions, trends, and other issues with implications for the care and education of young children and infants</w:t>
            </w:r>
          </w:p>
        </w:tc>
      </w:tr>
      <w:tr w:rsidR="008455D7" w:rsidRPr="00706A1A" w14:paraId="1A191321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060C1F4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3BE27E03" w14:textId="77777777" w:rsidTr="00E20077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EFFAA23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412ECFB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929E232" w14:textId="77777777" w:rsidTr="00E200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B0902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3A702F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2CA54B69" w14:textId="77777777" w:rsidTr="00E200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6D78CE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645539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1F9F0F58" w14:textId="77777777" w:rsidTr="00E200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C4AB6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944CD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1F59907A" w14:textId="77777777" w:rsidTr="00E200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41C71C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4655E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585D1965" w14:textId="77777777" w:rsidTr="00E200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0855D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CD1D1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0210C3DE" w14:textId="77777777" w:rsidTr="00E20077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6A411C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5F49FFB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4E2F65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0CFD95FF" w14:textId="77777777" w:rsidTr="00E200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836DCD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C2D8A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59337D5" w14:textId="77777777" w:rsidTr="00E200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77014A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1D438C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10FD0C2D" w14:textId="77777777" w:rsidTr="00E200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BD1C4C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774E2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621FA25" w14:textId="77777777" w:rsidTr="00E200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6C8D91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23C15E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</w:tbl>
    <w:bookmarkEnd w:id="0"/>
    <w:p w14:paraId="00BE793A" w14:textId="77777777" w:rsidR="00EC4F94" w:rsidRPr="00D9379F" w:rsidRDefault="00E20077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65C78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A screenshot of a computer&#10;&#10;Description automatically generated with medium confidence" style="position:absolute;margin-left:-44pt;margin-top:0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EA6198" w:rsidRPr="00706A1A" w14:paraId="7C07D9B7" w14:textId="77777777" w:rsidTr="00E20077">
        <w:tc>
          <w:tcPr>
            <w:tcW w:w="2178" w:type="dxa"/>
            <w:vMerge w:val="restart"/>
            <w:shd w:val="clear" w:color="auto" w:fill="D9E2F3"/>
          </w:tcPr>
          <w:p w14:paraId="38EA4AD5" w14:textId="5EEFB06A" w:rsidR="00EA6198" w:rsidRPr="006F217E" w:rsidRDefault="00EA6198" w:rsidP="001D0AF1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6F217E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Family and community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4598E9" w14:textId="73B31FB1" w:rsidR="00EA6198" w:rsidRPr="00706A1A" w:rsidRDefault="00EA6198" w:rsidP="006F217E">
            <w:pPr>
              <w:tabs>
                <w:tab w:val="left" w:pos="1640"/>
              </w:tabs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EA6198" w:rsidRPr="00706A1A" w14:paraId="778FB7AB" w14:textId="77777777" w:rsidTr="00E20077">
        <w:tc>
          <w:tcPr>
            <w:tcW w:w="2178" w:type="dxa"/>
            <w:vMerge/>
            <w:shd w:val="clear" w:color="auto" w:fill="D9E2F3"/>
          </w:tcPr>
          <w:p w14:paraId="263D568D" w14:textId="361FCD21" w:rsidR="00EA6198" w:rsidRPr="006F217E" w:rsidRDefault="00EA6198" w:rsidP="00B83FC8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2E26B5" w14:textId="77777777" w:rsidR="00EA6198" w:rsidRPr="00706A1A" w:rsidRDefault="00EA6198" w:rsidP="006F217E">
            <w:pPr>
              <w:tabs>
                <w:tab w:val="left" w:pos="1640"/>
              </w:tabs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EA6198" w:rsidRPr="00706A1A" w14:paraId="255BBE6B" w14:textId="77777777" w:rsidTr="00E20077">
        <w:tc>
          <w:tcPr>
            <w:tcW w:w="2178" w:type="dxa"/>
            <w:vMerge/>
            <w:shd w:val="clear" w:color="auto" w:fill="D9E2F3"/>
          </w:tcPr>
          <w:p w14:paraId="5F860F5F" w14:textId="77777777" w:rsidR="00EA6198" w:rsidRPr="006F217E" w:rsidRDefault="00EA6198" w:rsidP="009D309D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08957D" w14:textId="77777777" w:rsidR="00EA6198" w:rsidRPr="00300AC6" w:rsidRDefault="00EA6198" w:rsidP="006F217E">
            <w:pPr>
              <w:tabs>
                <w:tab w:val="left" w:pos="1640"/>
              </w:tabs>
              <w:rPr>
                <w:rFonts w:ascii="Graphik Arabic Regular" w:hAnsi="Graphik Arabic Regular" w:cs="Graphik Arabic Regular"/>
                <w:sz w:val="20"/>
                <w:szCs w:val="20"/>
                <w:shd w:val="clear" w:color="auto" w:fill="FFF2CC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EA6198" w:rsidRPr="00706A1A" w14:paraId="5597F0F3" w14:textId="77777777" w:rsidTr="00E20077">
        <w:tc>
          <w:tcPr>
            <w:tcW w:w="2178" w:type="dxa"/>
            <w:vMerge/>
            <w:shd w:val="clear" w:color="auto" w:fill="D9E2F3"/>
          </w:tcPr>
          <w:p w14:paraId="4BA4D8D3" w14:textId="77777777" w:rsidR="00EA6198" w:rsidRPr="00706A1A" w:rsidRDefault="00EA6198" w:rsidP="006F217E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1EFB36" w14:textId="77777777" w:rsidR="00EA6198" w:rsidRPr="00D313F2" w:rsidRDefault="00EA6198" w:rsidP="006F217E">
            <w:pPr>
              <w:tabs>
                <w:tab w:val="left" w:pos="1640"/>
              </w:tabs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9D309D">
              <w:rPr>
                <w:rFonts w:ascii="Graphik Arabic Regular" w:hAnsi="Graphik Arabic Regular" w:cs="Graphik Arabic Regular"/>
                <w:sz w:val="20"/>
                <w:szCs w:val="20"/>
                <w:shd w:val="clear" w:color="auto" w:fill="F2F2F2"/>
              </w:rPr>
              <w:t>Listen to and involve parents in all decisions regarding the child’s safety, healthy development and learning; creates opportunities for parents to strengthen their parental</w:t>
            </w:r>
            <w:r w:rsidRPr="00D313F2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skills</w:t>
            </w:r>
          </w:p>
        </w:tc>
      </w:tr>
      <w:tr w:rsidR="00EA6198" w:rsidRPr="00706A1A" w14:paraId="6CF1A554" w14:textId="77777777" w:rsidTr="00E200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1038C2B" w14:textId="77777777" w:rsidR="00EA6198" w:rsidRPr="00706A1A" w:rsidRDefault="00EA6198" w:rsidP="006F217E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0252B0F" w14:textId="77777777" w:rsidR="00EA6198" w:rsidRPr="00706A1A" w:rsidRDefault="00EA6198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6F217E" w:rsidRPr="00706A1A" w14:paraId="6975419D" w14:textId="77777777" w:rsidTr="00E20077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0D608147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Diversity and inclusion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A4C3AB6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6F217E" w:rsidRPr="00706A1A" w14:paraId="4EBB17C3" w14:textId="77777777" w:rsidTr="00E200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2631AA5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F021A63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6F217E" w:rsidRPr="00706A1A" w14:paraId="5D15D987" w14:textId="77777777" w:rsidTr="00E200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A8B7ED6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48DC044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6F217E" w:rsidRPr="00706A1A" w14:paraId="360670DF" w14:textId="77777777" w:rsidTr="00E200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A46EE4E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E30ED24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6F217E" w:rsidRPr="00706A1A" w14:paraId="1DF1DEB7" w14:textId="77777777" w:rsidTr="00E20077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024D8FB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0A4D0FB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6F217E" w:rsidRPr="00706A1A" w14:paraId="24F581A2" w14:textId="77777777" w:rsidTr="00E200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2F9C86D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38AF569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6F217E" w:rsidRPr="00706A1A" w14:paraId="02ACC4BD" w14:textId="77777777" w:rsidTr="00E200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97AD813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8C041E4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6F217E" w:rsidRPr="00706A1A" w14:paraId="7B941BBA" w14:textId="77777777" w:rsidTr="00E200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9043258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0C2FD6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6F217E" w:rsidRPr="00706A1A" w14:paraId="32BD5B55" w14:textId="77777777" w:rsidTr="00E20077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BF8997D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B255869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6F217E" w:rsidRPr="00706A1A" w14:paraId="0BFE1875" w14:textId="77777777" w:rsidTr="00E200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565A5A5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9075A5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6F217E" w:rsidRPr="00706A1A" w14:paraId="34D33D71" w14:textId="77777777" w:rsidTr="00E200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DFCE7FE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A5CCA8C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6F217E" w:rsidRPr="00706A1A" w14:paraId="03665759" w14:textId="77777777" w:rsidTr="00E20077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6E8F710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5AE093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6F217E" w:rsidRPr="00706A1A" w14:paraId="452F5DA1" w14:textId="77777777" w:rsidTr="00E200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831B30C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5AE924C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4527B23E" w14:textId="77777777" w:rsidR="00EC4F94" w:rsidRDefault="00E20077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147FDEE4">
          <v:shape id="_x0000_s1037" type="#_x0000_t75" alt="A screenshot of a computer&#10;&#10;Description automatically generated with medium confidence" style="position:absolute;margin-left:-43.7pt;margin-top:-2.4pt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1EEDDCA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6379EC2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ED23E03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2A1C226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2A1E31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792383C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A52D259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D160" w14:textId="77777777" w:rsidR="009F4896" w:rsidRDefault="009F4896" w:rsidP="0071009D">
      <w:r>
        <w:separator/>
      </w:r>
    </w:p>
  </w:endnote>
  <w:endnote w:type="continuationSeparator" w:id="0">
    <w:p w14:paraId="48C0E3E6" w14:textId="77777777" w:rsidR="009F4896" w:rsidRDefault="009F4896" w:rsidP="0071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60D5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8318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F477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3BB4" w14:textId="77777777" w:rsidR="009F4896" w:rsidRDefault="009F4896" w:rsidP="0071009D">
      <w:r>
        <w:separator/>
      </w:r>
    </w:p>
  </w:footnote>
  <w:footnote w:type="continuationSeparator" w:id="0">
    <w:p w14:paraId="006AA563" w14:textId="77777777" w:rsidR="009F4896" w:rsidRDefault="009F4896" w:rsidP="0071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CEC7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B315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2553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43"/>
    <w:multiLevelType w:val="hybridMultilevel"/>
    <w:tmpl w:val="06C4D80C"/>
    <w:lvl w:ilvl="0" w:tplc="B1C43A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8AC"/>
    <w:multiLevelType w:val="hybridMultilevel"/>
    <w:tmpl w:val="C79A1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B0518"/>
    <w:multiLevelType w:val="hybridMultilevel"/>
    <w:tmpl w:val="2F16C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A053D"/>
    <w:multiLevelType w:val="hybridMultilevel"/>
    <w:tmpl w:val="603EC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0D4ED5"/>
    <w:multiLevelType w:val="hybridMultilevel"/>
    <w:tmpl w:val="0F02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F77D4"/>
    <w:multiLevelType w:val="hybridMultilevel"/>
    <w:tmpl w:val="49B040C8"/>
    <w:lvl w:ilvl="0" w:tplc="B1C43A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897"/>
    <w:multiLevelType w:val="hybridMultilevel"/>
    <w:tmpl w:val="BF8CD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626CA4"/>
    <w:multiLevelType w:val="hybridMultilevel"/>
    <w:tmpl w:val="39A4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A13EE"/>
    <w:multiLevelType w:val="hybridMultilevel"/>
    <w:tmpl w:val="6D7A7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7E1E78"/>
    <w:multiLevelType w:val="hybridMultilevel"/>
    <w:tmpl w:val="0D389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2D6C97"/>
    <w:multiLevelType w:val="hybridMultilevel"/>
    <w:tmpl w:val="7012E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7119CF"/>
    <w:multiLevelType w:val="hybridMultilevel"/>
    <w:tmpl w:val="A0349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25311A"/>
    <w:multiLevelType w:val="hybridMultilevel"/>
    <w:tmpl w:val="F458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37101"/>
    <w:multiLevelType w:val="hybridMultilevel"/>
    <w:tmpl w:val="29120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482CF7"/>
    <w:multiLevelType w:val="hybridMultilevel"/>
    <w:tmpl w:val="555AF14A"/>
    <w:lvl w:ilvl="0" w:tplc="B1C43AC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0"/>
  </w:num>
  <w:num w:numId="8">
    <w:abstractNumId w:val="15"/>
  </w:num>
  <w:num w:numId="9">
    <w:abstractNumId w:val="10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20"/>
  <w:characterSpacingControl w:val="doNotCompress"/>
  <w:hdrShapeDefaults>
    <o:shapedefaults v:ext="edit" spidmax="8193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3066C"/>
    <w:rsid w:val="00057B48"/>
    <w:rsid w:val="000634CB"/>
    <w:rsid w:val="000E33FC"/>
    <w:rsid w:val="001369D1"/>
    <w:rsid w:val="00146855"/>
    <w:rsid w:val="00185D2A"/>
    <w:rsid w:val="001C3842"/>
    <w:rsid w:val="002841D2"/>
    <w:rsid w:val="00285442"/>
    <w:rsid w:val="002D6C47"/>
    <w:rsid w:val="002F36D6"/>
    <w:rsid w:val="00300AC6"/>
    <w:rsid w:val="00345EAD"/>
    <w:rsid w:val="00367925"/>
    <w:rsid w:val="003B09A0"/>
    <w:rsid w:val="003B323C"/>
    <w:rsid w:val="003E7D55"/>
    <w:rsid w:val="00431197"/>
    <w:rsid w:val="00444C2E"/>
    <w:rsid w:val="00445884"/>
    <w:rsid w:val="004605C8"/>
    <w:rsid w:val="00487188"/>
    <w:rsid w:val="00490BE0"/>
    <w:rsid w:val="005702C6"/>
    <w:rsid w:val="005A360C"/>
    <w:rsid w:val="005B2075"/>
    <w:rsid w:val="00662282"/>
    <w:rsid w:val="0069180F"/>
    <w:rsid w:val="00697625"/>
    <w:rsid w:val="006C40E8"/>
    <w:rsid w:val="006D0704"/>
    <w:rsid w:val="006D4FE1"/>
    <w:rsid w:val="006E79EB"/>
    <w:rsid w:val="006F217E"/>
    <w:rsid w:val="00706A1A"/>
    <w:rsid w:val="0071009D"/>
    <w:rsid w:val="007354DA"/>
    <w:rsid w:val="0076197B"/>
    <w:rsid w:val="007662D4"/>
    <w:rsid w:val="007D37C1"/>
    <w:rsid w:val="00810AD3"/>
    <w:rsid w:val="0081304F"/>
    <w:rsid w:val="008455D7"/>
    <w:rsid w:val="008A13E7"/>
    <w:rsid w:val="008A4C45"/>
    <w:rsid w:val="008C5703"/>
    <w:rsid w:val="00944B98"/>
    <w:rsid w:val="009A5588"/>
    <w:rsid w:val="009D309D"/>
    <w:rsid w:val="009F4896"/>
    <w:rsid w:val="00A45DD5"/>
    <w:rsid w:val="00A76804"/>
    <w:rsid w:val="00A947E2"/>
    <w:rsid w:val="00AB2748"/>
    <w:rsid w:val="00B123BF"/>
    <w:rsid w:val="00B30BD9"/>
    <w:rsid w:val="00B57346"/>
    <w:rsid w:val="00B83FC8"/>
    <w:rsid w:val="00BA11BF"/>
    <w:rsid w:val="00BD3D2A"/>
    <w:rsid w:val="00BF53AE"/>
    <w:rsid w:val="00C0754A"/>
    <w:rsid w:val="00C51E7B"/>
    <w:rsid w:val="00C87801"/>
    <w:rsid w:val="00CB1CE6"/>
    <w:rsid w:val="00CD4473"/>
    <w:rsid w:val="00D313F2"/>
    <w:rsid w:val="00D9379F"/>
    <w:rsid w:val="00DF0AA5"/>
    <w:rsid w:val="00E20077"/>
    <w:rsid w:val="00E25580"/>
    <w:rsid w:val="00E25694"/>
    <w:rsid w:val="00E55A95"/>
    <w:rsid w:val="00EA6198"/>
    <w:rsid w:val="00EC1D50"/>
    <w:rsid w:val="00EC4F94"/>
    <w:rsid w:val="00ED4EAA"/>
    <w:rsid w:val="00F13255"/>
    <w:rsid w:val="00F20B6C"/>
    <w:rsid w:val="00F257BF"/>
    <w:rsid w:val="00F376B0"/>
    <w:rsid w:val="00F509FC"/>
    <w:rsid w:val="00F6114F"/>
    <w:rsid w:val="00F74DFC"/>
    <w:rsid w:val="00FB7D5A"/>
    <w:rsid w:val="00FE2286"/>
    <w:rsid w:val="00FF6942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8f8f8"/>
    </o:shapedefaults>
    <o:shapelayout v:ext="edit">
      <o:idmap v:ext="edit" data="1"/>
    </o:shapelayout>
  </w:shapeDefaults>
  <w:decimalSymbol w:val="."/>
  <w:listSeparator w:val=","/>
  <w14:docId w14:val="14BF8E88"/>
  <w15:docId w15:val="{5917A623-A031-4A3E-A784-1978EBB7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C8968D-2CB1-4A39-A300-C6B9901C19B5}"/>
</file>

<file path=customXml/itemProps2.xml><?xml version="1.0" encoding="utf-8"?>
<ds:datastoreItem xmlns:ds="http://schemas.openxmlformats.org/officeDocument/2006/customXml" ds:itemID="{96916A6E-1FC5-4DCE-992B-ED59C239F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89FC8-7FF1-49E2-B7D9-7FE94ED1E7D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db7d521-ec3b-43c2-af5c-470a246deab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095498-DC00-4106-93F1-EBCAEB03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25</cp:revision>
  <cp:lastPrinted>2022-04-06T06:24:00Z</cp:lastPrinted>
  <dcterms:created xsi:type="dcterms:W3CDTF">2023-05-29T09:16:00Z</dcterms:created>
  <dcterms:modified xsi:type="dcterms:W3CDTF">2023-06-12T08:10:00Z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