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944CB2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5DFD8E8B" w:rsidR="00944CB2" w:rsidRPr="00706A1A" w:rsidRDefault="00944CB2" w:rsidP="00944CB2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1167AACF" w:rsidR="00944CB2" w:rsidRPr="002149D3" w:rsidRDefault="00944CB2" w:rsidP="00944C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Family lawyer</w:t>
            </w:r>
          </w:p>
        </w:tc>
      </w:tr>
      <w:tr w:rsidR="00944CB2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944CB2" w:rsidRPr="00A379E5" w:rsidRDefault="00944CB2" w:rsidP="00944C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03DCA6E1" w:rsidR="00944CB2" w:rsidRPr="00505418" w:rsidRDefault="00944CB2" w:rsidP="00944C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Legal professional that specializes in matters</w:t>
            </w:r>
            <w:r w:rsidRPr="000921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related to family law which</w:t>
            </w:r>
            <w:r w:rsidRPr="00092106">
              <w:rPr>
                <w:rFonts w:ascii="Arial" w:hAnsi="Arial" w:cs="Arial"/>
                <w:color w:val="000000"/>
                <w:sz w:val="20"/>
                <w:szCs w:val="20"/>
              </w:rPr>
              <w:t xml:space="preserve"> impact families such as divorce proceedings, adoptions, child custody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etc</w:t>
            </w:r>
            <w:r w:rsidRPr="0009210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D36E7D">
              <w:rPr>
                <w:rFonts w:ascii="Arial" w:hAnsi="Arial" w:cs="Arial"/>
                <w:color w:val="000000"/>
                <w:sz w:val="20"/>
                <w:szCs w:val="20"/>
              </w:rPr>
              <w:t>They provide legal advice, guidance, and representation to individuals and families who are dealing with various issues that arise within the realm of family relationships</w:t>
            </w:r>
          </w:p>
        </w:tc>
      </w:tr>
      <w:tr w:rsidR="00944CB2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944CB2" w:rsidRPr="00A379E5" w:rsidRDefault="00944CB2" w:rsidP="00944C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29EAAA46" w14:textId="77777777" w:rsidR="00944CB2" w:rsidRPr="00D04294" w:rsidRDefault="00944CB2" w:rsidP="00944CB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04294">
              <w:rPr>
                <w:rFonts w:ascii="Arial" w:hAnsi="Arial" w:cs="Arial"/>
                <w:sz w:val="20"/>
                <w:szCs w:val="20"/>
              </w:rPr>
              <w:t xml:space="preserve">Advise </w:t>
            </w:r>
            <w:r>
              <w:rPr>
                <w:rFonts w:ascii="Arial" w:hAnsi="Arial" w:cs="Arial"/>
                <w:sz w:val="20"/>
                <w:szCs w:val="20"/>
              </w:rPr>
              <w:t>families</w:t>
            </w:r>
            <w:r w:rsidRPr="00D04294">
              <w:rPr>
                <w:rFonts w:ascii="Arial" w:hAnsi="Arial" w:cs="Arial"/>
                <w:sz w:val="20"/>
                <w:szCs w:val="20"/>
              </w:rPr>
              <w:t xml:space="preserve"> on legal matters</w:t>
            </w:r>
            <w:r>
              <w:rPr>
                <w:rFonts w:ascii="Arial" w:hAnsi="Arial" w:cs="Arial"/>
                <w:sz w:val="20"/>
                <w:szCs w:val="20"/>
              </w:rPr>
              <w:t xml:space="preserve"> regarding their rights,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options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potential outcomes, and </w:t>
            </w:r>
            <w:r w:rsidRPr="00D04294">
              <w:rPr>
                <w:rFonts w:ascii="Arial" w:hAnsi="Arial" w:cs="Arial"/>
                <w:sz w:val="20"/>
                <w:szCs w:val="20"/>
              </w:rPr>
              <w:t>interpret laws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2F5C1" w14:textId="77777777" w:rsidR="00944CB2" w:rsidRPr="001B55F7" w:rsidRDefault="00944CB2" w:rsidP="00944CB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Attend court hearings,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trials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judgements, and represent the families in court</w:t>
            </w:r>
          </w:p>
          <w:p w14:paraId="62EABB09" w14:textId="77777777" w:rsidR="00944CB2" w:rsidRPr="0029033B" w:rsidRDefault="00944CB2" w:rsidP="00944CB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Prepare</w:t>
            </w:r>
            <w:r w:rsidRPr="000921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documents such as </w:t>
            </w:r>
            <w:r w:rsidRPr="00092106">
              <w:rPr>
                <w:rFonts w:ascii="Arial" w:hAnsi="Arial" w:cs="Arial"/>
                <w:color w:val="000000"/>
                <w:sz w:val="20"/>
                <w:szCs w:val="20"/>
              </w:rPr>
              <w:t xml:space="preserve">custody agreements, wills, prenuptial agreements,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</w:p>
          <w:p w14:paraId="621644E0" w14:textId="77777777" w:rsidR="00944CB2" w:rsidRPr="0029033B" w:rsidRDefault="00944CB2" w:rsidP="00944CB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Negotiate settlements on behalf of the families</w:t>
            </w:r>
          </w:p>
          <w:p w14:paraId="0B5D21D7" w14:textId="77777777" w:rsidR="00944CB2" w:rsidRPr="00D04294" w:rsidRDefault="00944CB2" w:rsidP="00944CB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04294">
              <w:rPr>
                <w:rFonts w:ascii="Arial" w:hAnsi="Arial" w:cs="Arial"/>
                <w:sz w:val="20"/>
                <w:szCs w:val="20"/>
              </w:rPr>
              <w:t>Supervise and direct mediation sessions</w:t>
            </w:r>
          </w:p>
          <w:p w14:paraId="0EE7EE21" w14:textId="32A18AC5" w:rsidR="00944CB2" w:rsidRDefault="00944CB2" w:rsidP="00944CB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regular update to families about their legal cases</w:t>
            </w:r>
          </w:p>
          <w:p w14:paraId="58B62848" w14:textId="72A7243A" w:rsidR="00944CB2" w:rsidRPr="009A4BDB" w:rsidRDefault="00944CB2" w:rsidP="00944CB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04294">
              <w:rPr>
                <w:rFonts w:ascii="Arial" w:hAnsi="Arial" w:cs="Arial"/>
                <w:sz w:val="20"/>
                <w:szCs w:val="20"/>
              </w:rPr>
              <w:t>Organize and record all official documents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A379E5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A379E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A379E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A379E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A379E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A379E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A379E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A379E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A379E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A379E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A379E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A379E5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A379E5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A379E5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A379E5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A379E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A379E5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E846C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D9379F" w:rsidRPr="00706A1A" w14:paraId="775FF0D4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C5703" w:rsidRPr="00706A1A" w14:paraId="6D30C663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C5703" w:rsidRPr="00706A1A" w14:paraId="6EAFF2A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3DD3B60F" w:rsidR="00EC4F94" w:rsidRDefault="00A379E5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384088DA">
          <v:shape id="_x0000_s2052" type="#_x0000_t75" alt="A screenshot of a computer&#10;&#10;Description automatically generated with medium confidence" style="position:absolute;margin-left:-45.05pt;margin-top:.3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D875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A43C" w14:textId="77777777" w:rsidR="0060463F" w:rsidRDefault="0060463F" w:rsidP="0071009D">
      <w:r>
        <w:separator/>
      </w:r>
    </w:p>
  </w:endnote>
  <w:endnote w:type="continuationSeparator" w:id="0">
    <w:p w14:paraId="0B51992E" w14:textId="77777777" w:rsidR="0060463F" w:rsidRDefault="0060463F" w:rsidP="0071009D">
      <w:r>
        <w:continuationSeparator/>
      </w:r>
    </w:p>
  </w:endnote>
  <w:endnote w:type="continuationNotice" w:id="1">
    <w:p w14:paraId="1FCB9E81" w14:textId="77777777" w:rsidR="0060463F" w:rsidRDefault="00604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726E" w14:textId="77777777" w:rsidR="0060463F" w:rsidRDefault="0060463F" w:rsidP="0071009D">
      <w:r>
        <w:separator/>
      </w:r>
    </w:p>
  </w:footnote>
  <w:footnote w:type="continuationSeparator" w:id="0">
    <w:p w14:paraId="40EDE5CA" w14:textId="77777777" w:rsidR="0060463F" w:rsidRDefault="0060463F" w:rsidP="0071009D">
      <w:r>
        <w:continuationSeparator/>
      </w:r>
    </w:p>
  </w:footnote>
  <w:footnote w:type="continuationNotice" w:id="1">
    <w:p w14:paraId="586CE9CB" w14:textId="77777777" w:rsidR="0060463F" w:rsidRDefault="00604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863849">
    <w:abstractNumId w:val="0"/>
  </w:num>
  <w:num w:numId="2" w16cid:durableId="1860385933">
    <w:abstractNumId w:val="1"/>
  </w:num>
  <w:num w:numId="3" w16cid:durableId="1082293711">
    <w:abstractNumId w:val="2"/>
  </w:num>
  <w:num w:numId="4" w16cid:durableId="1449591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53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34D3B"/>
    <w:rsid w:val="00035CF7"/>
    <w:rsid w:val="00057B48"/>
    <w:rsid w:val="000B5550"/>
    <w:rsid w:val="000E33FC"/>
    <w:rsid w:val="00135246"/>
    <w:rsid w:val="00135334"/>
    <w:rsid w:val="001369D1"/>
    <w:rsid w:val="00146855"/>
    <w:rsid w:val="00176186"/>
    <w:rsid w:val="00192407"/>
    <w:rsid w:val="001B4BFA"/>
    <w:rsid w:val="001E6FCF"/>
    <w:rsid w:val="001F4C6A"/>
    <w:rsid w:val="002149D3"/>
    <w:rsid w:val="0022272C"/>
    <w:rsid w:val="00244CE9"/>
    <w:rsid w:val="00285907"/>
    <w:rsid w:val="002A0AE0"/>
    <w:rsid w:val="002C0836"/>
    <w:rsid w:val="002D2B5D"/>
    <w:rsid w:val="002F36D6"/>
    <w:rsid w:val="00367925"/>
    <w:rsid w:val="00380DAE"/>
    <w:rsid w:val="003B09A0"/>
    <w:rsid w:val="003B6733"/>
    <w:rsid w:val="00431197"/>
    <w:rsid w:val="00444C2E"/>
    <w:rsid w:val="004528DA"/>
    <w:rsid w:val="004605C8"/>
    <w:rsid w:val="00483393"/>
    <w:rsid w:val="00496FD7"/>
    <w:rsid w:val="004A28E7"/>
    <w:rsid w:val="004B1BD0"/>
    <w:rsid w:val="004D2954"/>
    <w:rsid w:val="00500E7F"/>
    <w:rsid w:val="00505418"/>
    <w:rsid w:val="00521D67"/>
    <w:rsid w:val="00544B27"/>
    <w:rsid w:val="005B2075"/>
    <w:rsid w:val="0060463F"/>
    <w:rsid w:val="00612100"/>
    <w:rsid w:val="00620880"/>
    <w:rsid w:val="0065262A"/>
    <w:rsid w:val="00681804"/>
    <w:rsid w:val="00706A1A"/>
    <w:rsid w:val="0071009D"/>
    <w:rsid w:val="007354DA"/>
    <w:rsid w:val="007626E9"/>
    <w:rsid w:val="00762D7E"/>
    <w:rsid w:val="007662D4"/>
    <w:rsid w:val="007A293B"/>
    <w:rsid w:val="007C2212"/>
    <w:rsid w:val="007D5F1F"/>
    <w:rsid w:val="007F3F09"/>
    <w:rsid w:val="00837C57"/>
    <w:rsid w:val="00840141"/>
    <w:rsid w:val="008455D7"/>
    <w:rsid w:val="00886276"/>
    <w:rsid w:val="008B5992"/>
    <w:rsid w:val="008C5703"/>
    <w:rsid w:val="0090419D"/>
    <w:rsid w:val="00931DC6"/>
    <w:rsid w:val="00944CB2"/>
    <w:rsid w:val="00992E96"/>
    <w:rsid w:val="00994D7B"/>
    <w:rsid w:val="009A4BDB"/>
    <w:rsid w:val="00A379E5"/>
    <w:rsid w:val="00A47A5C"/>
    <w:rsid w:val="00A76804"/>
    <w:rsid w:val="00A947E2"/>
    <w:rsid w:val="00B020BF"/>
    <w:rsid w:val="00B1103C"/>
    <w:rsid w:val="00B23391"/>
    <w:rsid w:val="00B57346"/>
    <w:rsid w:val="00BA11BF"/>
    <w:rsid w:val="00BF53AE"/>
    <w:rsid w:val="00C0754A"/>
    <w:rsid w:val="00C87801"/>
    <w:rsid w:val="00CB13C9"/>
    <w:rsid w:val="00D222CE"/>
    <w:rsid w:val="00D73786"/>
    <w:rsid w:val="00D7444F"/>
    <w:rsid w:val="00D9379F"/>
    <w:rsid w:val="00DC5ABE"/>
    <w:rsid w:val="00E1483B"/>
    <w:rsid w:val="00E25694"/>
    <w:rsid w:val="00E55A95"/>
    <w:rsid w:val="00E83644"/>
    <w:rsid w:val="00E846C3"/>
    <w:rsid w:val="00EC4F94"/>
    <w:rsid w:val="00ED3B3B"/>
    <w:rsid w:val="00ED4EAA"/>
    <w:rsid w:val="00F04E8F"/>
    <w:rsid w:val="00F078B2"/>
    <w:rsid w:val="00F13255"/>
    <w:rsid w:val="00F20B6C"/>
    <w:rsid w:val="00F35417"/>
    <w:rsid w:val="00F6114F"/>
    <w:rsid w:val="00F81F13"/>
    <w:rsid w:val="00F9635D"/>
    <w:rsid w:val="00F97987"/>
    <w:rsid w:val="00FB7D5A"/>
    <w:rsid w:val="00FE1E7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6A4943AC-ADC6-4D3B-9533-3D89F4F3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D23E8-F863-4475-9212-FD6CE8DA458A}"/>
</file>

<file path=customXml/itemProps2.xml><?xml version="1.0" encoding="utf-8"?>
<ds:datastoreItem xmlns:ds="http://schemas.openxmlformats.org/officeDocument/2006/customXml" ds:itemID="{F1AB1E1F-DC48-487F-888F-03207113EF1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db7d521-ec3b-43c2-af5c-470a246deabb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4</cp:revision>
  <cp:lastPrinted>2022-04-06T06:24:00Z</cp:lastPrinted>
  <dcterms:created xsi:type="dcterms:W3CDTF">2023-06-12T07:28:00Z</dcterms:created>
  <dcterms:modified xsi:type="dcterms:W3CDTF">2023-06-12T07:57:00Z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