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A846CF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A846CF" w:rsidRPr="00706A1A" w:rsidRDefault="00AD465D" w:rsidP="00A846CF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8" type="#_x0000_t75" alt="A screenshot of a computer&#10;&#10;Description automatically generated with medium confidence" style="position:absolute;margin-left:-43.7pt;margin-top:-105.95pt;width:611.1pt;height:796pt;z-index:-251658240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A846CF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48450155" w:rsidR="00A846CF" w:rsidRPr="002149D3" w:rsidRDefault="00A846CF" w:rsidP="00A846C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Genetic</w:t>
            </w:r>
            <w:r w:rsidRPr="00B020BF">
              <w:rPr>
                <w:rFonts w:ascii="Arial" w:hAnsi="Arial" w:cs="Arial"/>
                <w:b/>
                <w:bCs/>
                <w:color w:val="FFFFFF"/>
              </w:rPr>
              <w:t xml:space="preserve"> counselor</w:t>
            </w:r>
          </w:p>
        </w:tc>
      </w:tr>
      <w:tr w:rsidR="00A846CF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A846CF" w:rsidRPr="00E32A4C" w:rsidRDefault="00A846CF" w:rsidP="00A846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A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2CAE8205" w:rsidR="00A846CF" w:rsidRPr="00A16C21" w:rsidRDefault="00A846CF" w:rsidP="00A84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Practitioner</w:t>
            </w:r>
            <w:r w:rsidRPr="00B020BF">
              <w:rPr>
                <w:rFonts w:ascii="Arial" w:hAnsi="Arial" w:cs="Arial"/>
                <w:sz w:val="20"/>
                <w:szCs w:val="20"/>
              </w:rPr>
              <w:t xml:space="preserve"> specializing in </w:t>
            </w:r>
            <w:r>
              <w:rPr>
                <w:rFonts w:ascii="Arial" w:hAnsi="Arial" w:cs="Arial"/>
                <w:sz w:val="20"/>
                <w:szCs w:val="20"/>
              </w:rPr>
              <w:t xml:space="preserve">assessing </w:t>
            </w:r>
            <w:r w:rsidRPr="000C75E7">
              <w:rPr>
                <w:rFonts w:ascii="Arial" w:hAnsi="Arial" w:cs="Arial"/>
                <w:sz w:val="20"/>
                <w:szCs w:val="20"/>
              </w:rPr>
              <w:t>patients and/or families for a variety of inherited conditions, such as birth defects</w:t>
            </w:r>
            <w:r>
              <w:rPr>
                <w:rFonts w:ascii="Arial" w:hAnsi="Arial" w:cs="Arial"/>
                <w:sz w:val="20"/>
                <w:szCs w:val="20"/>
              </w:rPr>
              <w:t xml:space="preserve"> or other genetic disorders</w:t>
            </w:r>
            <w:r w:rsidRPr="000C75E7">
              <w:rPr>
                <w:rFonts w:ascii="Arial" w:hAnsi="Arial" w:cs="Arial"/>
                <w:sz w:val="20"/>
                <w:szCs w:val="20"/>
              </w:rPr>
              <w:t xml:space="preserve">. They review genetic test results with individuals and families and support them in making decisions. </w:t>
            </w:r>
            <w:r>
              <w:rPr>
                <w:rFonts w:ascii="Arial" w:hAnsi="Arial" w:cs="Arial"/>
                <w:sz w:val="20"/>
                <w:szCs w:val="20"/>
              </w:rPr>
              <w:t>They p</w:t>
            </w:r>
            <w:r w:rsidRPr="000C75E7">
              <w:rPr>
                <w:rFonts w:ascii="Arial" w:hAnsi="Arial" w:cs="Arial"/>
                <w:sz w:val="20"/>
                <w:szCs w:val="20"/>
              </w:rPr>
              <w:t xml:space="preserve">rovide genetic education, counseling, and support to patients and/or families </w:t>
            </w:r>
            <w:r>
              <w:rPr>
                <w:rFonts w:ascii="Arial" w:hAnsi="Arial" w:cs="Arial"/>
                <w:sz w:val="20"/>
                <w:szCs w:val="20"/>
              </w:rPr>
              <w:t>who have such defects/disorders</w:t>
            </w:r>
            <w:r w:rsidRPr="000C75E7">
              <w:rPr>
                <w:rFonts w:ascii="Arial" w:hAnsi="Arial" w:cs="Arial"/>
                <w:sz w:val="20"/>
                <w:szCs w:val="20"/>
              </w:rPr>
              <w:t xml:space="preserve"> or who may be at risk for inherited conditions</w:t>
            </w:r>
          </w:p>
        </w:tc>
      </w:tr>
      <w:tr w:rsidR="00A846CF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A846CF" w:rsidRPr="00E32A4C" w:rsidRDefault="00A846CF" w:rsidP="00A846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A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5AF33AE9" w14:textId="77777777" w:rsidR="00A846CF" w:rsidRDefault="00A846CF" w:rsidP="00A846CF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Collect comprehensive family and medical histories through means such as interviews, discussions with physicians, and reviewing medical records </w:t>
            </w:r>
          </w:p>
          <w:p w14:paraId="4027EDB6" w14:textId="77777777" w:rsidR="00A846CF" w:rsidRDefault="00A846CF" w:rsidP="00A846CF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Evaluate genetic information to identify patients at risk for specific hereditary disorders</w:t>
            </w:r>
          </w:p>
          <w:p w14:paraId="56D73CA0" w14:textId="77777777" w:rsidR="00A846CF" w:rsidRDefault="00A846CF" w:rsidP="00A846CF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 information from counseling sessions to send to patients or to referring physicians</w:t>
            </w:r>
          </w:p>
          <w:p w14:paraId="1A3DBA57" w14:textId="77777777" w:rsidR="00A846CF" w:rsidRDefault="00A846CF" w:rsidP="00A846CF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testing options and the associated risks, benefits, and limitations with patients and other healthcare providers</w:t>
            </w:r>
          </w:p>
          <w:p w14:paraId="4D226AE1" w14:textId="77777777" w:rsidR="00A846CF" w:rsidRDefault="00A846CF" w:rsidP="00A846CF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Educate </w:t>
            </w:r>
            <w:r w:rsidRPr="000C75E7">
              <w:rPr>
                <w:rFonts w:ascii="Arial" w:hAnsi="Arial" w:cs="Arial"/>
                <w:sz w:val="20"/>
                <w:szCs w:val="20"/>
              </w:rPr>
              <w:t xml:space="preserve">patients and/or families </w:t>
            </w:r>
            <w:r>
              <w:rPr>
                <w:rFonts w:ascii="Arial" w:hAnsi="Arial" w:cs="Arial"/>
                <w:sz w:val="20"/>
                <w:szCs w:val="20"/>
              </w:rPr>
              <w:t>and provide information about genetic risks and inherited conditions</w:t>
            </w:r>
          </w:p>
          <w:p w14:paraId="3C6B1A52" w14:textId="77777777" w:rsidR="00A846CF" w:rsidRDefault="00A846CF" w:rsidP="00A846CF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psychological, emotional and other support to</w:t>
            </w:r>
            <w:r w:rsidRPr="000C75E7">
              <w:rPr>
                <w:rFonts w:ascii="Arial" w:hAnsi="Arial" w:cs="Arial"/>
                <w:sz w:val="20"/>
                <w:szCs w:val="20"/>
              </w:rPr>
              <w:t xml:space="preserve"> patients and/or families </w:t>
            </w:r>
            <w:r>
              <w:rPr>
                <w:rFonts w:ascii="Arial" w:hAnsi="Arial" w:cs="Arial"/>
                <w:sz w:val="20"/>
                <w:szCs w:val="20"/>
              </w:rPr>
              <w:t>distressed by test results</w:t>
            </w:r>
          </w:p>
          <w:p w14:paraId="58B62848" w14:textId="73DD9ACC" w:rsidR="00A846CF" w:rsidRPr="00B519AF" w:rsidRDefault="00A846CF" w:rsidP="00A846CF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hereditary disorders and developments in the field of genetics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E32A4C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E32A4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E32A4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E32A4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E32A4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Interact with kindness, warmth and care, expressing respect, appreciation and understanding of individual needs; creating a healthy, welcoming and age-appropriate environments for them</w:t>
            </w:r>
          </w:p>
        </w:tc>
      </w:tr>
      <w:tr w:rsidR="008455D7" w:rsidRPr="00706A1A" w14:paraId="3444E7DE" w14:textId="77777777" w:rsidTr="00E32A4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E32A4C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E32A4C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E32A4C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44B8B8ED" w14:textId="77777777" w:rsidTr="00E32A4C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E32A4C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E32A4C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493407FE" w14:textId="77777777" w:rsidR="00762D7E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  <w:p w14:paraId="2908776C" w14:textId="77777777" w:rsidR="00AD465D" w:rsidRDefault="00AD465D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01E2FC11" w14:textId="77777777" w:rsidR="00AD465D" w:rsidRDefault="00AD465D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4350F9BE" w14:textId="77777777" w:rsidR="00AD465D" w:rsidRDefault="00AD465D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05B6B019" w14:textId="77777777" w:rsidR="00AD465D" w:rsidRDefault="00AD465D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0D341BF4" w14:textId="77777777" w:rsidR="00AD465D" w:rsidRDefault="00AD465D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54F2AA81" w14:textId="56A4556E" w:rsidR="00AD465D" w:rsidRPr="00706A1A" w:rsidRDefault="00AD465D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>Family and community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E32A4C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E32A4C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E32A4C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="00762D7E" w:rsidRPr="00706A1A" w14:paraId="55B69CDB" w14:textId="77777777" w:rsidTr="00E32A4C">
        <w:tc>
          <w:tcPr>
            <w:tcW w:w="2178" w:type="dxa"/>
            <w:vMerge/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884DD2" w:rsidRPr="00706A1A" w14:paraId="1D102F4F" w14:textId="77777777" w:rsidTr="00E32A4C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1CFB9532" w14:textId="655ED92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Diversity and inclusion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976525" w14:textId="0D74EA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884DD2" w:rsidRPr="00706A1A" w14:paraId="4A5A0778" w14:textId="77777777" w:rsidTr="00E32A4C">
        <w:tc>
          <w:tcPr>
            <w:tcW w:w="2178" w:type="dxa"/>
            <w:vMerge/>
            <w:shd w:val="clear" w:color="auto" w:fill="D9E2F3"/>
          </w:tcPr>
          <w:p w14:paraId="6ED27D91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281FD6" w14:textId="7ADD5F4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884DD2" w:rsidRPr="00706A1A" w14:paraId="2EE02460" w14:textId="77777777" w:rsidTr="00E32A4C">
        <w:tc>
          <w:tcPr>
            <w:tcW w:w="2178" w:type="dxa"/>
            <w:vMerge/>
            <w:shd w:val="clear" w:color="auto" w:fill="D9E2F3"/>
          </w:tcPr>
          <w:p w14:paraId="2DDE029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167DAD" w14:textId="67E0382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884DD2" w:rsidRPr="00706A1A" w14:paraId="53A9701D" w14:textId="77777777" w:rsidTr="00E32A4C">
        <w:tc>
          <w:tcPr>
            <w:tcW w:w="2178" w:type="dxa"/>
            <w:vMerge/>
            <w:shd w:val="clear" w:color="auto" w:fill="D9E2F3"/>
          </w:tcPr>
          <w:p w14:paraId="7DAC04A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3BE412" w14:textId="263EDFC1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884DD2" w:rsidRPr="00706A1A" w14:paraId="207834CE" w14:textId="77777777" w:rsidTr="00E32A4C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7F1E7E9" w14:textId="6EAE1228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5AB255" w14:textId="5969574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884DD2" w:rsidRPr="00706A1A" w14:paraId="3AB788F5" w14:textId="77777777" w:rsidTr="00E32A4C">
        <w:tc>
          <w:tcPr>
            <w:tcW w:w="2178" w:type="dxa"/>
            <w:vMerge/>
            <w:shd w:val="clear" w:color="auto" w:fill="D9E2F3"/>
          </w:tcPr>
          <w:p w14:paraId="3A4DBB7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1DD66A" w14:textId="2E0E00C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884DD2" w:rsidRPr="00706A1A" w14:paraId="3831A90F" w14:textId="77777777" w:rsidTr="00E32A4C">
        <w:tc>
          <w:tcPr>
            <w:tcW w:w="2178" w:type="dxa"/>
            <w:vMerge/>
            <w:shd w:val="clear" w:color="auto" w:fill="D9E2F3"/>
          </w:tcPr>
          <w:p w14:paraId="3E7D0D50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748C27" w14:textId="642F65B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884DD2" w:rsidRPr="00706A1A" w14:paraId="5B587E33" w14:textId="77777777" w:rsidTr="00E32A4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AFBC08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163E14" w14:textId="6CEE4ACF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884DD2" w:rsidRPr="00706A1A" w14:paraId="5864C20E" w14:textId="77777777" w:rsidTr="00E32A4C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795AF2DF" w14:textId="7C3FB820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244B2D" w14:textId="2C758295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884DD2" w:rsidRPr="00706A1A" w14:paraId="33976061" w14:textId="77777777" w:rsidTr="00E32A4C">
        <w:tc>
          <w:tcPr>
            <w:tcW w:w="2178" w:type="dxa"/>
            <w:vMerge/>
            <w:shd w:val="clear" w:color="auto" w:fill="D9E2F3"/>
          </w:tcPr>
          <w:p w14:paraId="0E0F0ED5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B8B8D3" w14:textId="515928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884DD2" w:rsidRPr="00706A1A" w14:paraId="160BA834" w14:textId="77777777" w:rsidTr="00E32A4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F7E61FF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82412F" w14:textId="58409DB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84DD2" w:rsidRPr="00706A1A" w14:paraId="624AECD6" w14:textId="77777777" w:rsidTr="00E32A4C">
        <w:tc>
          <w:tcPr>
            <w:tcW w:w="2178" w:type="dxa"/>
            <w:vMerge w:val="restart"/>
            <w:shd w:val="clear" w:color="auto" w:fill="D9E2F3"/>
          </w:tcPr>
          <w:p w14:paraId="24E50AB4" w14:textId="122C3E7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D84E92" w14:textId="6F6CB79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84DD2" w:rsidRPr="00706A1A" w14:paraId="07F50A6A" w14:textId="77777777" w:rsidTr="00E32A4C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246D136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D4B372" w14:textId="5E9D419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diverse cultures, religions, traditions, ethnicities and races that live in the UAE; showing sensitivity while communicating and engaging with the UAE community and promoting core values</w:t>
            </w:r>
          </w:p>
        </w:tc>
      </w:tr>
    </w:tbl>
    <w:bookmarkEnd w:id="0"/>
    <w:p w14:paraId="59AC61E3" w14:textId="77777777" w:rsidR="00EC4F94" w:rsidRPr="00D9379F" w:rsidRDefault="00AD465D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 id="Picture 1" o:spid="_x0000_s2051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sectPr w:rsidR="00EC4F94" w:rsidRPr="00D9379F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938D" w14:textId="77777777" w:rsidR="00431501" w:rsidRDefault="00431501" w:rsidP="0071009D">
      <w:r>
        <w:separator/>
      </w:r>
    </w:p>
  </w:endnote>
  <w:endnote w:type="continuationSeparator" w:id="0">
    <w:p w14:paraId="252DD7A3" w14:textId="77777777" w:rsidR="00431501" w:rsidRDefault="00431501" w:rsidP="0071009D">
      <w:r>
        <w:continuationSeparator/>
      </w:r>
    </w:p>
  </w:endnote>
  <w:endnote w:type="continuationNotice" w:id="1">
    <w:p w14:paraId="70023A18" w14:textId="77777777" w:rsidR="00431501" w:rsidRDefault="00431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E180" w14:textId="77777777" w:rsidR="00431501" w:rsidRDefault="00431501" w:rsidP="0071009D">
      <w:r>
        <w:separator/>
      </w:r>
    </w:p>
  </w:footnote>
  <w:footnote w:type="continuationSeparator" w:id="0">
    <w:p w14:paraId="22027149" w14:textId="77777777" w:rsidR="00431501" w:rsidRDefault="00431501" w:rsidP="0071009D">
      <w:r>
        <w:continuationSeparator/>
      </w:r>
    </w:p>
  </w:footnote>
  <w:footnote w:type="continuationNotice" w:id="1">
    <w:p w14:paraId="46D1471C" w14:textId="77777777" w:rsidR="00431501" w:rsidRDefault="004315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24A20"/>
    <w:multiLevelType w:val="multilevel"/>
    <w:tmpl w:val="FE5E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TrackMoves/>
  <w:defaultTabStop w:val="720"/>
  <w:characterSpacingControl w:val="doNotCompress"/>
  <w:hdrShapeDefaults>
    <o:shapedefaults v:ext="edit" spidmax="2069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4A82"/>
    <w:rsid w:val="00057B48"/>
    <w:rsid w:val="00066358"/>
    <w:rsid w:val="00076607"/>
    <w:rsid w:val="0008609F"/>
    <w:rsid w:val="000963BD"/>
    <w:rsid w:val="000A35B6"/>
    <w:rsid w:val="000B12A5"/>
    <w:rsid w:val="000B5550"/>
    <w:rsid w:val="000E33FC"/>
    <w:rsid w:val="000F07A6"/>
    <w:rsid w:val="00135334"/>
    <w:rsid w:val="001369D1"/>
    <w:rsid w:val="00146855"/>
    <w:rsid w:val="00160E83"/>
    <w:rsid w:val="00192407"/>
    <w:rsid w:val="00195740"/>
    <w:rsid w:val="001E6FCF"/>
    <w:rsid w:val="001F4C6A"/>
    <w:rsid w:val="00206CA0"/>
    <w:rsid w:val="002149D3"/>
    <w:rsid w:val="0024666B"/>
    <w:rsid w:val="00254D40"/>
    <w:rsid w:val="002A0AE0"/>
    <w:rsid w:val="002B2B38"/>
    <w:rsid w:val="002B5C66"/>
    <w:rsid w:val="002C7BF9"/>
    <w:rsid w:val="002D2B5D"/>
    <w:rsid w:val="002F36D6"/>
    <w:rsid w:val="003635DE"/>
    <w:rsid w:val="00367925"/>
    <w:rsid w:val="00391642"/>
    <w:rsid w:val="003B09A0"/>
    <w:rsid w:val="003B6733"/>
    <w:rsid w:val="003F4112"/>
    <w:rsid w:val="00431197"/>
    <w:rsid w:val="00431501"/>
    <w:rsid w:val="004448C1"/>
    <w:rsid w:val="00444C2E"/>
    <w:rsid w:val="004528DA"/>
    <w:rsid w:val="004605C8"/>
    <w:rsid w:val="00483393"/>
    <w:rsid w:val="00496FD7"/>
    <w:rsid w:val="004A28E7"/>
    <w:rsid w:val="004B1BD0"/>
    <w:rsid w:val="004E28AB"/>
    <w:rsid w:val="004F500B"/>
    <w:rsid w:val="004F727B"/>
    <w:rsid w:val="00505418"/>
    <w:rsid w:val="0051097D"/>
    <w:rsid w:val="00567070"/>
    <w:rsid w:val="005B2075"/>
    <w:rsid w:val="005F6383"/>
    <w:rsid w:val="00601AF3"/>
    <w:rsid w:val="00613012"/>
    <w:rsid w:val="00620880"/>
    <w:rsid w:val="00676FED"/>
    <w:rsid w:val="00681804"/>
    <w:rsid w:val="006A4323"/>
    <w:rsid w:val="006A7410"/>
    <w:rsid w:val="006F2EF3"/>
    <w:rsid w:val="0070619E"/>
    <w:rsid w:val="00706A1A"/>
    <w:rsid w:val="0071009D"/>
    <w:rsid w:val="007354DA"/>
    <w:rsid w:val="007626E9"/>
    <w:rsid w:val="00762D7E"/>
    <w:rsid w:val="007662D4"/>
    <w:rsid w:val="007A293B"/>
    <w:rsid w:val="007D4099"/>
    <w:rsid w:val="007F3F09"/>
    <w:rsid w:val="00810B1A"/>
    <w:rsid w:val="00823EAE"/>
    <w:rsid w:val="00833C0D"/>
    <w:rsid w:val="00840141"/>
    <w:rsid w:val="008455D7"/>
    <w:rsid w:val="00884DD2"/>
    <w:rsid w:val="00886276"/>
    <w:rsid w:val="008C3114"/>
    <w:rsid w:val="008C5703"/>
    <w:rsid w:val="0090419D"/>
    <w:rsid w:val="00931DC6"/>
    <w:rsid w:val="009353DD"/>
    <w:rsid w:val="00970F79"/>
    <w:rsid w:val="00A0717E"/>
    <w:rsid w:val="00A16C21"/>
    <w:rsid w:val="00A65962"/>
    <w:rsid w:val="00A76804"/>
    <w:rsid w:val="00A846CF"/>
    <w:rsid w:val="00A90B6F"/>
    <w:rsid w:val="00A947E2"/>
    <w:rsid w:val="00AA44C4"/>
    <w:rsid w:val="00AB554E"/>
    <w:rsid w:val="00AD465D"/>
    <w:rsid w:val="00AE07E9"/>
    <w:rsid w:val="00B020BF"/>
    <w:rsid w:val="00B061A9"/>
    <w:rsid w:val="00B1103C"/>
    <w:rsid w:val="00B23391"/>
    <w:rsid w:val="00B47ECD"/>
    <w:rsid w:val="00B519AF"/>
    <w:rsid w:val="00B57346"/>
    <w:rsid w:val="00B64D20"/>
    <w:rsid w:val="00BA11BF"/>
    <w:rsid w:val="00BC10DC"/>
    <w:rsid w:val="00BD43AD"/>
    <w:rsid w:val="00BF53AE"/>
    <w:rsid w:val="00C0754A"/>
    <w:rsid w:val="00C5250B"/>
    <w:rsid w:val="00C87801"/>
    <w:rsid w:val="00CB13C9"/>
    <w:rsid w:val="00CD225C"/>
    <w:rsid w:val="00CE7E97"/>
    <w:rsid w:val="00CF3C3D"/>
    <w:rsid w:val="00D3086E"/>
    <w:rsid w:val="00D43A01"/>
    <w:rsid w:val="00D73786"/>
    <w:rsid w:val="00D9379F"/>
    <w:rsid w:val="00DB2C3E"/>
    <w:rsid w:val="00DC5ABE"/>
    <w:rsid w:val="00E14696"/>
    <w:rsid w:val="00E1483B"/>
    <w:rsid w:val="00E15706"/>
    <w:rsid w:val="00E25694"/>
    <w:rsid w:val="00E32A4C"/>
    <w:rsid w:val="00E55A95"/>
    <w:rsid w:val="00E81CB9"/>
    <w:rsid w:val="00E846C3"/>
    <w:rsid w:val="00E95B68"/>
    <w:rsid w:val="00EC4F94"/>
    <w:rsid w:val="00ED183A"/>
    <w:rsid w:val="00ED3B3B"/>
    <w:rsid w:val="00ED4EAA"/>
    <w:rsid w:val="00EE099D"/>
    <w:rsid w:val="00EF225F"/>
    <w:rsid w:val="00F04E8F"/>
    <w:rsid w:val="00F078B2"/>
    <w:rsid w:val="00F13255"/>
    <w:rsid w:val="00F20B6C"/>
    <w:rsid w:val="00F35417"/>
    <w:rsid w:val="00F56412"/>
    <w:rsid w:val="00F57D09"/>
    <w:rsid w:val="00F6114F"/>
    <w:rsid w:val="00F9501B"/>
    <w:rsid w:val="00F9635D"/>
    <w:rsid w:val="00FA3819"/>
    <w:rsid w:val="00FB7D5A"/>
    <w:rsid w:val="00FE1E7B"/>
    <w:rsid w:val="00FF3E0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o:colormru v:ext="edit" colors="#f8f8f8"/>
    </o:shapedefaults>
    <o:shapelayout v:ext="edit">
      <o:idmap v:ext="edit" data="2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B1E1F-DC48-487F-888F-03207113EF14}">
  <ds:schemaRefs>
    <ds:schemaRef ds:uri="http://schemas.microsoft.com/office/2006/metadata/properties"/>
    <ds:schemaRef ds:uri="http://www.w3.org/XML/1998/namespace"/>
    <ds:schemaRef ds:uri="4c002b31-80d0-41a3-b86d-f8127ba5e2e1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c3ff62e-a1bf-499b-bfef-006aef3f75c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DA873C-7578-4D7E-89AB-DEB20E4B9D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13</cp:revision>
  <cp:lastPrinted>2022-04-06T18:54:00Z</cp:lastPrinted>
  <dcterms:created xsi:type="dcterms:W3CDTF">2023-06-01T05:39:00Z</dcterms:created>
  <dcterms:modified xsi:type="dcterms:W3CDTF">2023-06-12T08:41:00Z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