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B460F6" w:rsidRPr="00217402" w14:paraId="792FDAC8" w14:textId="77777777" w:rsidTr="009A2C39">
        <w:tc>
          <w:tcPr>
            <w:tcW w:w="2178" w:type="dxa"/>
            <w:shd w:val="clear" w:color="auto" w:fill="2F5496"/>
          </w:tcPr>
          <w:p w14:paraId="1BC0EF74" w14:textId="77777777" w:rsidR="00B460F6" w:rsidRPr="00217402" w:rsidRDefault="000059A7" w:rsidP="00B460F6">
            <w:pPr>
              <w:bidi/>
              <w:rPr>
                <w:rFonts w:ascii="Sakkal Majalla" w:hAnsi="Sakkal Majalla" w:cs="Sakkal Majalla"/>
                <w:b/>
                <w:color w:val="FFFFFF"/>
              </w:rPr>
            </w:pPr>
            <w:bookmarkStart w:id="0" w:name="_Hlk137540851"/>
            <w:bookmarkStart w:id="1" w:name="_Hlk137674510"/>
            <w:r>
              <w:rPr>
                <w:rFonts w:ascii="Sakkal Majalla" w:hAnsi="Sakkal Majalla" w:cs="Sakkal Majalla"/>
                <w:b/>
                <w:noProof/>
                <w:color w:val="FFFFFF"/>
              </w:rPr>
              <w:pict w14:anchorId="6D965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A screenshot of a computer&#10;&#10;Description automatically generated with medium confidence" style="position:absolute;left:0;text-align:left;margin-left:-45pt;margin-top:-103.05pt;width:611.1pt;height:796pt;z-index:-251658240;visibility:visible;mso-position-vertical-relative:page">
                  <v:imagedata r:id="rId7" o:title="A screenshot of a computer&#10;&#10;Description automatically generated with medium confidence"/>
                  <w10:wrap anchory="page"/>
                </v:shape>
              </w:pict>
            </w:r>
            <w:r w:rsidR="00B460F6" w:rsidRPr="00217402">
              <w:rPr>
                <w:rFonts w:ascii="Sakkal Majalla" w:hAnsi="Sakkal Majalla" w:cs="Sakkal Majalla"/>
                <w:b/>
                <w:color w:val="FFFFFF"/>
                <w:rtl/>
              </w:rPr>
              <w:t>اسم الوظيفة</w:t>
            </w:r>
            <w:r w:rsidR="00B460F6" w:rsidRPr="00217402">
              <w:rPr>
                <w:rFonts w:ascii="Sakkal Majalla" w:hAnsi="Sakkal Majalla" w:cs="Sakkal Majalla"/>
                <w:b/>
                <w:color w:val="FFFFFF"/>
              </w:rPr>
              <w:t xml:space="preserve"> </w:t>
            </w:r>
          </w:p>
        </w:tc>
        <w:tc>
          <w:tcPr>
            <w:tcW w:w="8460" w:type="dxa"/>
            <w:shd w:val="clear" w:color="auto" w:fill="2F5496"/>
          </w:tcPr>
          <w:p w14:paraId="53AEEFBC" w14:textId="77777777" w:rsidR="00B460F6" w:rsidRPr="00217402" w:rsidRDefault="00B460F6" w:rsidP="00B460F6">
            <w:pPr>
              <w:bidi/>
              <w:rPr>
                <w:rFonts w:ascii="Sakkal Majalla" w:hAnsi="Sakkal Majalla" w:cs="Sakkal Majalla"/>
                <w:b/>
                <w:color w:val="FFFFFF"/>
                <w:rtl/>
                <w:lang w:bidi="ar-SY"/>
              </w:rPr>
            </w:pPr>
            <w:r w:rsidRPr="00BA2A08">
              <w:rPr>
                <w:rFonts w:ascii="Sakkal Majalla" w:hAnsi="Sakkal Majalla" w:cs="Sakkal Majalla"/>
                <w:b/>
                <w:bCs/>
                <w:color w:val="FFFFFF"/>
                <w:rtl/>
              </w:rPr>
              <w:t>موظف متحف</w:t>
            </w:r>
          </w:p>
        </w:tc>
      </w:tr>
      <w:tr w:rsidR="00B460F6" w:rsidRPr="00217402" w14:paraId="7A27B5BE" w14:textId="77777777" w:rsidTr="009A2C39">
        <w:tc>
          <w:tcPr>
            <w:tcW w:w="2178" w:type="dxa"/>
            <w:shd w:val="clear" w:color="auto" w:fill="D9E2F3"/>
          </w:tcPr>
          <w:p w14:paraId="3BE9228B" w14:textId="77777777" w:rsidR="00B460F6" w:rsidRPr="00217402" w:rsidRDefault="00B460F6" w:rsidP="00B460F6">
            <w:pPr>
              <w:bidi/>
              <w:rPr>
                <w:rFonts w:ascii="Sakkal Majalla" w:hAnsi="Sakkal Majalla" w:cs="Sakkal Majalla"/>
                <w:b/>
                <w:bCs/>
                <w:sz w:val="22"/>
                <w:szCs w:val="22"/>
              </w:rPr>
            </w:pPr>
            <w:r w:rsidRPr="00217402">
              <w:rPr>
                <w:rFonts w:ascii="Sakkal Majalla" w:hAnsi="Sakkal Majalla" w:cs="Sakkal Majalla"/>
                <w:b/>
                <w:bCs/>
                <w:sz w:val="22"/>
                <w:szCs w:val="22"/>
                <w:rtl/>
              </w:rPr>
              <w:t>الوصف الوظيفي</w:t>
            </w:r>
          </w:p>
        </w:tc>
        <w:tc>
          <w:tcPr>
            <w:tcW w:w="8460" w:type="dxa"/>
            <w:shd w:val="clear" w:color="auto" w:fill="F2F2F2"/>
          </w:tcPr>
          <w:p w14:paraId="79DEF9F2" w14:textId="77777777" w:rsidR="00B460F6" w:rsidRPr="00217402" w:rsidRDefault="00B460F6" w:rsidP="00B460F6">
            <w:pPr>
              <w:bidi/>
              <w:rPr>
                <w:rFonts w:ascii="Sakkal Majalla" w:hAnsi="Sakkal Majalla" w:cs="Sakkal Majalla"/>
                <w:sz w:val="20"/>
                <w:szCs w:val="20"/>
              </w:rPr>
            </w:pPr>
            <w:r w:rsidRPr="00BA2A08">
              <w:rPr>
                <w:rFonts w:ascii="Sakkal Majalla" w:hAnsi="Sakkal Majalla" w:cs="Sakkal Majalla"/>
                <w:sz w:val="20"/>
                <w:szCs w:val="20"/>
                <w:rtl/>
              </w:rPr>
              <w:t xml:space="preserve">مسؤول عن دعم جميع عمليات وأنشطة المتحف لضمان </w:t>
            </w:r>
            <w:r>
              <w:rPr>
                <w:rFonts w:ascii="Sakkal Majalla" w:hAnsi="Sakkal Majalla" w:cs="Sakkal Majalla" w:hint="cs"/>
                <w:sz w:val="20"/>
                <w:szCs w:val="20"/>
                <w:rtl/>
              </w:rPr>
              <w:t xml:space="preserve">توفير </w:t>
            </w:r>
            <w:r w:rsidRPr="00BA2A08">
              <w:rPr>
                <w:rFonts w:ascii="Sakkal Majalla" w:hAnsi="Sakkal Majalla" w:cs="Sakkal Majalla"/>
                <w:sz w:val="20"/>
                <w:szCs w:val="20"/>
                <w:rtl/>
              </w:rPr>
              <w:t xml:space="preserve">أفضل تجربة </w:t>
            </w:r>
            <w:r>
              <w:rPr>
                <w:rFonts w:ascii="Sakkal Majalla" w:hAnsi="Sakkal Majalla" w:cs="Sakkal Majalla" w:hint="cs"/>
                <w:sz w:val="20"/>
                <w:szCs w:val="20"/>
                <w:rtl/>
              </w:rPr>
              <w:t>ل</w:t>
            </w:r>
            <w:r w:rsidRPr="00BA2A08">
              <w:rPr>
                <w:rFonts w:ascii="Sakkal Majalla" w:hAnsi="Sakkal Majalla" w:cs="Sakkal Majalla"/>
                <w:sz w:val="20"/>
                <w:szCs w:val="20"/>
                <w:rtl/>
              </w:rPr>
              <w:t xml:space="preserve">لزوار </w:t>
            </w:r>
            <w:r>
              <w:rPr>
                <w:rFonts w:ascii="Sakkal Majalla" w:hAnsi="Sakkal Majalla" w:cs="Sakkal Majalla" w:hint="cs"/>
                <w:sz w:val="20"/>
                <w:szCs w:val="20"/>
                <w:rtl/>
              </w:rPr>
              <w:t xml:space="preserve">خلال </w:t>
            </w:r>
            <w:r w:rsidRPr="00BA2A08">
              <w:rPr>
                <w:rFonts w:ascii="Sakkal Majalla" w:hAnsi="Sakkal Majalla" w:cs="Sakkal Majalla"/>
                <w:sz w:val="20"/>
                <w:szCs w:val="20"/>
                <w:rtl/>
              </w:rPr>
              <w:t xml:space="preserve">زيارتهم للمتحف. تشمل هذه الأنشطة الاهتمام بالمجموعات، </w:t>
            </w:r>
            <w:r>
              <w:rPr>
                <w:rFonts w:ascii="Sakkal Majalla" w:hAnsi="Sakkal Majalla" w:cs="Sakkal Majalla" w:hint="cs"/>
                <w:sz w:val="20"/>
                <w:szCs w:val="20"/>
                <w:rtl/>
              </w:rPr>
              <w:t xml:space="preserve">وتقديم </w:t>
            </w:r>
            <w:r w:rsidRPr="00BA2A08">
              <w:rPr>
                <w:rFonts w:ascii="Sakkal Majalla" w:hAnsi="Sakkal Majalla" w:cs="Sakkal Majalla"/>
                <w:sz w:val="20"/>
                <w:szCs w:val="20"/>
                <w:rtl/>
              </w:rPr>
              <w:t>جولات إرشادية للأطفال والكبار، والحفاظ على أمن الموقع كجزء من فريق المتحف</w:t>
            </w:r>
          </w:p>
        </w:tc>
      </w:tr>
      <w:tr w:rsidR="00B460F6" w:rsidRPr="00217402" w14:paraId="0B853565" w14:textId="77777777" w:rsidTr="009A2C39">
        <w:tc>
          <w:tcPr>
            <w:tcW w:w="2178" w:type="dxa"/>
            <w:shd w:val="clear" w:color="auto" w:fill="D9E2F3"/>
          </w:tcPr>
          <w:p w14:paraId="60742B8A" w14:textId="77777777" w:rsidR="00B460F6" w:rsidRPr="00217402" w:rsidRDefault="00B460F6" w:rsidP="00B460F6">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63B72E2A" w14:textId="77777777" w:rsidR="00B460F6" w:rsidRPr="00BA2A08" w:rsidRDefault="00B460F6" w:rsidP="00B460F6">
            <w:pPr>
              <w:numPr>
                <w:ilvl w:val="0"/>
                <w:numId w:val="1"/>
              </w:numPr>
              <w:bidi/>
              <w:rPr>
                <w:rFonts w:ascii="Sakkal Majalla" w:hAnsi="Sakkal Majalla" w:cs="Sakkal Majalla"/>
                <w:sz w:val="20"/>
                <w:szCs w:val="20"/>
              </w:rPr>
            </w:pPr>
            <w:r w:rsidRPr="00BA2A08">
              <w:rPr>
                <w:rFonts w:ascii="Sakkal Majalla" w:hAnsi="Sakkal Majalla" w:cs="Sakkal Majalla"/>
                <w:sz w:val="20"/>
                <w:szCs w:val="20"/>
                <w:rtl/>
              </w:rPr>
              <w:t xml:space="preserve">تقديم المساعدة والمعلومات للزوار، </w:t>
            </w:r>
            <w:r>
              <w:rPr>
                <w:rFonts w:ascii="Sakkal Majalla" w:hAnsi="Sakkal Majalla" w:cs="Sakkal Majalla" w:hint="cs"/>
                <w:sz w:val="20"/>
                <w:szCs w:val="20"/>
                <w:rtl/>
              </w:rPr>
              <w:t>وتقديم</w:t>
            </w:r>
            <w:r w:rsidRPr="00BA2A08">
              <w:rPr>
                <w:rFonts w:ascii="Sakkal Majalla" w:hAnsi="Sakkal Majalla" w:cs="Sakkal Majalla"/>
                <w:sz w:val="20"/>
                <w:szCs w:val="20"/>
                <w:rtl/>
              </w:rPr>
              <w:t xml:space="preserve"> جولات مصحوبة بمرشدين، </w:t>
            </w:r>
            <w:r>
              <w:rPr>
                <w:rFonts w:ascii="Sakkal Majalla" w:hAnsi="Sakkal Majalla" w:cs="Sakkal Majalla" w:hint="cs"/>
                <w:sz w:val="20"/>
                <w:szCs w:val="20"/>
                <w:rtl/>
              </w:rPr>
              <w:t xml:space="preserve">وشرح </w:t>
            </w:r>
            <w:r w:rsidRPr="00BA2A08">
              <w:rPr>
                <w:rFonts w:ascii="Sakkal Majalla" w:hAnsi="Sakkal Majalla" w:cs="Sakkal Majalla"/>
                <w:sz w:val="20"/>
                <w:szCs w:val="20"/>
                <w:rtl/>
              </w:rPr>
              <w:t>المعارض وفقا</w:t>
            </w:r>
            <w:r>
              <w:rPr>
                <w:rFonts w:ascii="Sakkal Majalla" w:hAnsi="Sakkal Majalla" w:cs="Sakkal Majalla" w:hint="cs"/>
                <w:sz w:val="20"/>
                <w:szCs w:val="20"/>
                <w:rtl/>
              </w:rPr>
              <w:t>ً</w:t>
            </w:r>
            <w:r w:rsidRPr="00BA2A08">
              <w:rPr>
                <w:rFonts w:ascii="Sakkal Majalla" w:hAnsi="Sakkal Majalla" w:cs="Sakkal Majalla"/>
                <w:sz w:val="20"/>
                <w:szCs w:val="20"/>
                <w:rtl/>
              </w:rPr>
              <w:t xml:space="preserve"> للتوجيهات</w:t>
            </w:r>
            <w:r>
              <w:rPr>
                <w:rFonts w:ascii="Sakkal Majalla" w:hAnsi="Sakkal Majalla" w:cs="Sakkal Majalla" w:hint="cs"/>
                <w:sz w:val="20"/>
                <w:szCs w:val="20"/>
                <w:rtl/>
              </w:rPr>
              <w:t>،</w:t>
            </w:r>
            <w:r w:rsidRPr="00BA2A08">
              <w:rPr>
                <w:rFonts w:ascii="Sakkal Majalla" w:hAnsi="Sakkal Majalla" w:cs="Sakkal Majalla"/>
                <w:sz w:val="20"/>
                <w:szCs w:val="20"/>
                <w:rtl/>
              </w:rPr>
              <w:t xml:space="preserve"> والمساعدة في استخدام المعدات مثل </w:t>
            </w:r>
            <w:r>
              <w:rPr>
                <w:rFonts w:ascii="Sakkal Majalla" w:hAnsi="Sakkal Majalla" w:cs="Sakkal Majalla" w:hint="cs"/>
                <w:sz w:val="20"/>
                <w:szCs w:val="20"/>
                <w:rtl/>
              </w:rPr>
              <w:t xml:space="preserve">المعدات </w:t>
            </w:r>
            <w:r w:rsidRPr="00BA2A08">
              <w:rPr>
                <w:rFonts w:ascii="Sakkal Majalla" w:hAnsi="Sakkal Majalla" w:cs="Sakkal Majalla"/>
                <w:sz w:val="20"/>
                <w:szCs w:val="20"/>
                <w:rtl/>
              </w:rPr>
              <w:t>الصوتي</w:t>
            </w:r>
            <w:r>
              <w:rPr>
                <w:rFonts w:ascii="Sakkal Majalla" w:hAnsi="Sakkal Majalla" w:cs="Sakkal Majalla" w:hint="cs"/>
                <w:sz w:val="20"/>
                <w:szCs w:val="20"/>
                <w:rtl/>
              </w:rPr>
              <w:t>ة</w:t>
            </w:r>
            <w:r w:rsidRPr="00BA2A08">
              <w:rPr>
                <w:rFonts w:ascii="Sakkal Majalla" w:hAnsi="Sakkal Majalla" w:cs="Sakkal Majalla"/>
                <w:sz w:val="20"/>
                <w:szCs w:val="20"/>
                <w:rtl/>
              </w:rPr>
              <w:t xml:space="preserve"> والمرئي</w:t>
            </w:r>
            <w:r>
              <w:rPr>
                <w:rFonts w:ascii="Sakkal Majalla" w:hAnsi="Sakkal Majalla" w:cs="Sakkal Majalla" w:hint="cs"/>
                <w:sz w:val="20"/>
                <w:szCs w:val="20"/>
                <w:rtl/>
              </w:rPr>
              <w:t>ة</w:t>
            </w:r>
          </w:p>
          <w:p w14:paraId="0572E3B8" w14:textId="77777777" w:rsidR="00B460F6" w:rsidRPr="00BA2A08" w:rsidRDefault="00B460F6" w:rsidP="00B460F6">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ضمان </w:t>
            </w:r>
            <w:r w:rsidRPr="00BA2A08">
              <w:rPr>
                <w:rFonts w:ascii="Sakkal Majalla" w:hAnsi="Sakkal Majalla" w:cs="Sakkal Majalla"/>
                <w:sz w:val="20"/>
                <w:szCs w:val="20"/>
                <w:rtl/>
              </w:rPr>
              <w:t>أعلى معايير خدمة العملاء لتوفير تجربة ممتازة لجميع الزوار</w:t>
            </w:r>
          </w:p>
          <w:p w14:paraId="2396B0E2" w14:textId="77777777" w:rsidR="00B460F6" w:rsidRPr="00BA2A08" w:rsidRDefault="00B460F6" w:rsidP="00B460F6">
            <w:pPr>
              <w:numPr>
                <w:ilvl w:val="0"/>
                <w:numId w:val="1"/>
              </w:numPr>
              <w:bidi/>
              <w:rPr>
                <w:rFonts w:ascii="Sakkal Majalla" w:hAnsi="Sakkal Majalla" w:cs="Sakkal Majalla"/>
                <w:sz w:val="20"/>
                <w:szCs w:val="20"/>
              </w:rPr>
            </w:pPr>
            <w:r w:rsidRPr="00BA2A08">
              <w:rPr>
                <w:rFonts w:ascii="Sakkal Majalla" w:hAnsi="Sakkal Majalla" w:cs="Sakkal Majalla"/>
                <w:sz w:val="20"/>
                <w:szCs w:val="20"/>
                <w:rtl/>
              </w:rPr>
              <w:t xml:space="preserve">تلقي الاستفسارات </w:t>
            </w:r>
            <w:r>
              <w:rPr>
                <w:rFonts w:ascii="Sakkal Majalla" w:hAnsi="Sakkal Majalla" w:cs="Sakkal Majalla" w:hint="cs"/>
                <w:sz w:val="20"/>
                <w:szCs w:val="20"/>
                <w:rtl/>
              </w:rPr>
              <w:t xml:space="preserve">والأسئلة </w:t>
            </w:r>
            <w:r w:rsidRPr="00BA2A08">
              <w:rPr>
                <w:rFonts w:ascii="Sakkal Majalla" w:hAnsi="Sakkal Majalla" w:cs="Sakkal Majalla"/>
                <w:sz w:val="20"/>
                <w:szCs w:val="20"/>
                <w:rtl/>
              </w:rPr>
              <w:t>من الزوار وعبر الهاتف</w:t>
            </w:r>
          </w:p>
          <w:p w14:paraId="670C99ED" w14:textId="77777777" w:rsidR="00B460F6" w:rsidRPr="00BA2A08" w:rsidRDefault="00B460F6" w:rsidP="00B460F6">
            <w:pPr>
              <w:numPr>
                <w:ilvl w:val="0"/>
                <w:numId w:val="1"/>
              </w:numPr>
              <w:bidi/>
              <w:rPr>
                <w:rFonts w:ascii="Sakkal Majalla" w:hAnsi="Sakkal Majalla" w:cs="Sakkal Majalla"/>
                <w:sz w:val="20"/>
                <w:szCs w:val="20"/>
              </w:rPr>
            </w:pPr>
            <w:r w:rsidRPr="00BA2A08">
              <w:rPr>
                <w:rFonts w:ascii="Sakkal Majalla" w:hAnsi="Sakkal Majalla" w:cs="Sakkal Majalla"/>
                <w:sz w:val="20"/>
                <w:szCs w:val="20"/>
                <w:rtl/>
              </w:rPr>
              <w:t xml:space="preserve">المساعدة في ضمان أمن المتحف ومجموعاته والتجهيزات </w:t>
            </w:r>
            <w:r>
              <w:rPr>
                <w:rFonts w:ascii="Sakkal Majalla" w:hAnsi="Sakkal Majalla" w:cs="Sakkal Majalla" w:hint="cs"/>
                <w:sz w:val="20"/>
                <w:szCs w:val="20"/>
                <w:rtl/>
              </w:rPr>
              <w:t xml:space="preserve">والمعدات </w:t>
            </w:r>
            <w:r w:rsidRPr="00BA2A08">
              <w:rPr>
                <w:rFonts w:ascii="Sakkal Majalla" w:hAnsi="Sakkal Majalla" w:cs="Sakkal Majalla"/>
                <w:sz w:val="20"/>
                <w:szCs w:val="20"/>
                <w:rtl/>
              </w:rPr>
              <w:t xml:space="preserve">والجمهور/الزوار والموظفين من خلال تسيير دوريات في الموقع </w:t>
            </w:r>
            <w:r>
              <w:rPr>
                <w:rFonts w:ascii="Sakkal Majalla" w:hAnsi="Sakkal Majalla" w:cs="Sakkal Majalla" w:hint="cs"/>
                <w:sz w:val="20"/>
                <w:szCs w:val="20"/>
                <w:rtl/>
              </w:rPr>
              <w:t xml:space="preserve">ومراقبة </w:t>
            </w:r>
            <w:r w:rsidRPr="00BA2A08">
              <w:rPr>
                <w:rFonts w:ascii="Sakkal Majalla" w:hAnsi="Sakkal Majalla" w:cs="Sakkal Majalla"/>
                <w:sz w:val="20"/>
                <w:szCs w:val="20"/>
                <w:rtl/>
              </w:rPr>
              <w:t xml:space="preserve">المعارض والإشراف على </w:t>
            </w:r>
            <w:r>
              <w:rPr>
                <w:rFonts w:ascii="Sakkal Majalla" w:hAnsi="Sakkal Majalla" w:cs="Sakkal Majalla" w:hint="cs"/>
                <w:sz w:val="20"/>
                <w:szCs w:val="20"/>
                <w:rtl/>
              </w:rPr>
              <w:t xml:space="preserve">الزوار </w:t>
            </w:r>
            <w:r w:rsidRPr="00BA2A08">
              <w:rPr>
                <w:rFonts w:ascii="Sakkal Majalla" w:hAnsi="Sakkal Majalla" w:cs="Sakkal Majalla"/>
                <w:sz w:val="20"/>
                <w:szCs w:val="20"/>
                <w:rtl/>
              </w:rPr>
              <w:t>حسب الاقتضاء</w:t>
            </w:r>
          </w:p>
          <w:p w14:paraId="697A1268" w14:textId="77777777" w:rsidR="00B460F6" w:rsidRPr="00BA2A08" w:rsidRDefault="00B460F6" w:rsidP="00B460F6">
            <w:pPr>
              <w:numPr>
                <w:ilvl w:val="0"/>
                <w:numId w:val="1"/>
              </w:numPr>
              <w:bidi/>
              <w:rPr>
                <w:rFonts w:ascii="Sakkal Majalla" w:hAnsi="Sakkal Majalla" w:cs="Sakkal Majalla"/>
                <w:sz w:val="20"/>
                <w:szCs w:val="20"/>
              </w:rPr>
            </w:pPr>
            <w:r w:rsidRPr="00BA2A08">
              <w:rPr>
                <w:rFonts w:ascii="Sakkal Majalla" w:hAnsi="Sakkal Majalla" w:cs="Sakkal Majalla"/>
                <w:sz w:val="20"/>
                <w:szCs w:val="20"/>
                <w:rtl/>
              </w:rPr>
              <w:t xml:space="preserve">المساعدة في تشغيل </w:t>
            </w:r>
            <w:r>
              <w:rPr>
                <w:rFonts w:ascii="Sakkal Majalla" w:hAnsi="Sakkal Majalla" w:cs="Sakkal Majalla" w:hint="cs"/>
                <w:sz w:val="20"/>
                <w:szCs w:val="20"/>
                <w:rtl/>
              </w:rPr>
              <w:t xml:space="preserve">مكتب </w:t>
            </w:r>
            <w:r w:rsidRPr="00BA2A08">
              <w:rPr>
                <w:rFonts w:ascii="Sakkal Majalla" w:hAnsi="Sakkal Majalla" w:cs="Sakkal Majalla"/>
                <w:sz w:val="20"/>
                <w:szCs w:val="20"/>
                <w:rtl/>
              </w:rPr>
              <w:t xml:space="preserve">الاستقبال والمتجر والمقهى، بما في ذلك جميع </w:t>
            </w:r>
            <w:r>
              <w:rPr>
                <w:rFonts w:ascii="Sakkal Majalla" w:hAnsi="Sakkal Majalla" w:cs="Sakkal Majalla" w:hint="cs"/>
                <w:sz w:val="20"/>
                <w:szCs w:val="20"/>
                <w:rtl/>
              </w:rPr>
              <w:t>مناطق البيع ب</w:t>
            </w:r>
            <w:r w:rsidRPr="00BA2A08">
              <w:rPr>
                <w:rFonts w:ascii="Sakkal Majalla" w:hAnsi="Sakkal Majalla" w:cs="Sakkal Majalla"/>
                <w:sz w:val="20"/>
                <w:szCs w:val="20"/>
                <w:rtl/>
              </w:rPr>
              <w:t>التجزئة وإدارة المخزون والتعامل مع النقد والضوابط المالية وإعداد الطعام ونظافة الطعام</w:t>
            </w:r>
          </w:p>
          <w:p w14:paraId="0B20FC8C" w14:textId="77777777" w:rsidR="00B460F6" w:rsidRPr="00217402" w:rsidRDefault="00B460F6" w:rsidP="00B460F6">
            <w:pPr>
              <w:numPr>
                <w:ilvl w:val="0"/>
                <w:numId w:val="1"/>
              </w:numPr>
              <w:bidi/>
              <w:rPr>
                <w:rFonts w:ascii="Sakkal Majalla" w:hAnsi="Sakkal Majalla" w:cs="Sakkal Majalla"/>
                <w:sz w:val="20"/>
                <w:szCs w:val="20"/>
              </w:rPr>
            </w:pPr>
            <w:r w:rsidRPr="00BA2A08">
              <w:rPr>
                <w:rFonts w:ascii="Sakkal Majalla" w:hAnsi="Sakkal Majalla" w:cs="Sakkal Majalla"/>
                <w:sz w:val="20"/>
                <w:szCs w:val="20"/>
                <w:rtl/>
              </w:rPr>
              <w:t xml:space="preserve">المساعدة في تخطيط وتقديم </w:t>
            </w:r>
            <w:r>
              <w:rPr>
                <w:rFonts w:ascii="Sakkal Majalla" w:hAnsi="Sakkal Majalla" w:cs="Sakkal Majalla" w:hint="cs"/>
                <w:sz w:val="20"/>
                <w:szCs w:val="20"/>
                <w:rtl/>
              </w:rPr>
              <w:t xml:space="preserve">الفعاليات </w:t>
            </w:r>
            <w:r w:rsidRPr="00BA2A08">
              <w:rPr>
                <w:rFonts w:ascii="Sakkal Majalla" w:hAnsi="Sakkal Majalla" w:cs="Sakkal Majalla"/>
                <w:sz w:val="20"/>
                <w:szCs w:val="20"/>
                <w:rtl/>
              </w:rPr>
              <w:t xml:space="preserve">وجلسات الأنشطة؛ </w:t>
            </w:r>
            <w:r>
              <w:rPr>
                <w:rFonts w:ascii="Sakkal Majalla" w:hAnsi="Sakkal Majalla" w:cs="Sakkal Majalla" w:hint="cs"/>
                <w:sz w:val="20"/>
                <w:szCs w:val="20"/>
                <w:rtl/>
              </w:rPr>
              <w:t>و</w:t>
            </w:r>
            <w:r w:rsidRPr="00BA2A08">
              <w:rPr>
                <w:rFonts w:ascii="Sakkal Majalla" w:hAnsi="Sakkal Majalla" w:cs="Sakkal Majalla"/>
                <w:sz w:val="20"/>
                <w:szCs w:val="20"/>
                <w:rtl/>
              </w:rPr>
              <w:t>تسهيل الزيارات الجماعية والمدرس</w:t>
            </w:r>
            <w:r>
              <w:rPr>
                <w:rFonts w:ascii="Sakkal Majalla" w:hAnsi="Sakkal Majalla" w:cs="Sakkal Majalla" w:hint="cs"/>
                <w:sz w:val="20"/>
                <w:szCs w:val="20"/>
                <w:rtl/>
              </w:rPr>
              <w:t>ي</w:t>
            </w:r>
            <w:r w:rsidRPr="00BA2A08">
              <w:rPr>
                <w:rFonts w:ascii="Sakkal Majalla" w:hAnsi="Sakkal Majalla" w:cs="Sakkal Majalla"/>
                <w:sz w:val="20"/>
                <w:szCs w:val="20"/>
                <w:rtl/>
              </w:rPr>
              <w:t xml:space="preserve">ة؛ </w:t>
            </w:r>
            <w:r>
              <w:rPr>
                <w:rFonts w:ascii="Sakkal Majalla" w:hAnsi="Sakkal Majalla" w:cs="Sakkal Majalla" w:hint="cs"/>
                <w:sz w:val="20"/>
                <w:szCs w:val="20"/>
                <w:rtl/>
              </w:rPr>
              <w:t>و</w:t>
            </w:r>
            <w:r w:rsidRPr="00BA2A08">
              <w:rPr>
                <w:rFonts w:ascii="Sakkal Majalla" w:hAnsi="Sakkal Majalla" w:cs="Sakkal Majalla"/>
                <w:sz w:val="20"/>
                <w:szCs w:val="20"/>
                <w:rtl/>
              </w:rPr>
              <w:t xml:space="preserve">المساعدة في الاجتماعات </w:t>
            </w:r>
            <w:r>
              <w:rPr>
                <w:rFonts w:ascii="Sakkal Majalla" w:hAnsi="Sakkal Majalla" w:cs="Sakkal Majalla" w:hint="cs"/>
                <w:sz w:val="20"/>
                <w:szCs w:val="20"/>
                <w:rtl/>
              </w:rPr>
              <w:t>والخدمات</w:t>
            </w:r>
            <w:r w:rsidRPr="00BA2A08">
              <w:rPr>
                <w:rFonts w:ascii="Sakkal Majalla" w:hAnsi="Sakkal Majalla" w:cs="Sakkal Majalla"/>
                <w:sz w:val="20"/>
                <w:szCs w:val="20"/>
                <w:rtl/>
              </w:rPr>
              <w:t>، بما في ذلك إعداد وتقديم المرطبات</w:t>
            </w:r>
          </w:p>
        </w:tc>
      </w:tr>
      <w:tr w:rsidR="00B460F6" w:rsidRPr="00217402" w14:paraId="03838B9E" w14:textId="77777777" w:rsidTr="009A2C39">
        <w:tc>
          <w:tcPr>
            <w:tcW w:w="10638" w:type="dxa"/>
            <w:gridSpan w:val="2"/>
            <w:tcBorders>
              <w:bottom w:val="single" w:sz="4" w:space="0" w:color="auto"/>
            </w:tcBorders>
            <w:shd w:val="clear" w:color="auto" w:fill="2F5496"/>
          </w:tcPr>
          <w:p w14:paraId="105E0F74" w14:textId="77777777" w:rsidR="00B460F6" w:rsidRPr="00217402" w:rsidRDefault="00B460F6" w:rsidP="00B460F6">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B460F6" w:rsidRPr="00217402" w14:paraId="30A0DECC" w14:textId="77777777" w:rsidTr="009A2C39">
        <w:tc>
          <w:tcPr>
            <w:tcW w:w="2178" w:type="dxa"/>
            <w:vMerge w:val="restart"/>
            <w:tcBorders>
              <w:bottom w:val="single" w:sz="12" w:space="0" w:color="auto"/>
            </w:tcBorders>
            <w:shd w:val="clear" w:color="auto" w:fill="D9E2F3"/>
          </w:tcPr>
          <w:p w14:paraId="688FE1E5" w14:textId="77777777" w:rsidR="00B460F6" w:rsidRPr="00217402" w:rsidRDefault="00B460F6" w:rsidP="00B460F6">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72DA028D" w14:textId="77777777" w:rsidR="00B460F6" w:rsidRPr="00217402" w:rsidRDefault="00B460F6" w:rsidP="00B460F6">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B460F6" w:rsidRPr="00217402" w14:paraId="7FFFC5DA" w14:textId="77777777" w:rsidTr="009A2C39">
        <w:tc>
          <w:tcPr>
            <w:tcW w:w="2178" w:type="dxa"/>
            <w:vMerge/>
          </w:tcPr>
          <w:p w14:paraId="26901074" w14:textId="77777777" w:rsidR="00B460F6" w:rsidRPr="00217402" w:rsidRDefault="00B460F6" w:rsidP="00B460F6">
            <w:pPr>
              <w:bidi/>
              <w:rPr>
                <w:rFonts w:ascii="Sakkal Majalla" w:hAnsi="Sakkal Majalla" w:cs="Sakkal Majalla"/>
                <w:sz w:val="22"/>
                <w:szCs w:val="22"/>
              </w:rPr>
            </w:pPr>
          </w:p>
        </w:tc>
        <w:tc>
          <w:tcPr>
            <w:tcW w:w="8460" w:type="dxa"/>
            <w:shd w:val="clear" w:color="auto" w:fill="F2F2F2"/>
          </w:tcPr>
          <w:p w14:paraId="7FD3EB88"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B460F6" w:rsidRPr="00217402" w14:paraId="0A61169B" w14:textId="77777777" w:rsidTr="009A2C39">
        <w:tc>
          <w:tcPr>
            <w:tcW w:w="2178" w:type="dxa"/>
            <w:vMerge/>
          </w:tcPr>
          <w:p w14:paraId="1256295E" w14:textId="77777777" w:rsidR="00B460F6" w:rsidRPr="00217402" w:rsidRDefault="00B460F6" w:rsidP="00B460F6">
            <w:pPr>
              <w:bidi/>
              <w:rPr>
                <w:rFonts w:ascii="Sakkal Majalla" w:hAnsi="Sakkal Majalla" w:cs="Sakkal Majalla"/>
                <w:sz w:val="22"/>
                <w:szCs w:val="22"/>
              </w:rPr>
            </w:pPr>
          </w:p>
        </w:tc>
        <w:tc>
          <w:tcPr>
            <w:tcW w:w="8460" w:type="dxa"/>
            <w:shd w:val="clear" w:color="auto" w:fill="F2F2F2"/>
          </w:tcPr>
          <w:p w14:paraId="0E7DC7A7"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B460F6" w:rsidRPr="00217402" w14:paraId="500B3C91" w14:textId="77777777" w:rsidTr="009A2C39">
        <w:tc>
          <w:tcPr>
            <w:tcW w:w="2178" w:type="dxa"/>
            <w:vMerge/>
          </w:tcPr>
          <w:p w14:paraId="49ACEFFB" w14:textId="77777777" w:rsidR="00B460F6" w:rsidRPr="00217402" w:rsidRDefault="00B460F6" w:rsidP="00B460F6">
            <w:pPr>
              <w:bidi/>
              <w:rPr>
                <w:rFonts w:ascii="Sakkal Majalla" w:hAnsi="Sakkal Majalla" w:cs="Sakkal Majalla"/>
                <w:sz w:val="22"/>
                <w:szCs w:val="22"/>
              </w:rPr>
            </w:pPr>
          </w:p>
        </w:tc>
        <w:tc>
          <w:tcPr>
            <w:tcW w:w="8460" w:type="dxa"/>
            <w:shd w:val="clear" w:color="auto" w:fill="F2F2F2"/>
          </w:tcPr>
          <w:p w14:paraId="0A7F4874"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B460F6" w:rsidRPr="00217402" w14:paraId="31967CD9" w14:textId="77777777" w:rsidTr="009A2C39">
        <w:tc>
          <w:tcPr>
            <w:tcW w:w="2178" w:type="dxa"/>
            <w:vMerge/>
          </w:tcPr>
          <w:p w14:paraId="5A1F69E1" w14:textId="77777777" w:rsidR="00B460F6" w:rsidRPr="00217402" w:rsidRDefault="00B460F6" w:rsidP="00B460F6">
            <w:pPr>
              <w:bidi/>
              <w:rPr>
                <w:rFonts w:ascii="Sakkal Majalla" w:hAnsi="Sakkal Majalla" w:cs="Sakkal Majalla"/>
                <w:sz w:val="22"/>
                <w:szCs w:val="22"/>
              </w:rPr>
            </w:pPr>
          </w:p>
        </w:tc>
        <w:tc>
          <w:tcPr>
            <w:tcW w:w="8460" w:type="dxa"/>
            <w:tcBorders>
              <w:bottom w:val="single" w:sz="4" w:space="0" w:color="auto"/>
            </w:tcBorders>
            <w:shd w:val="clear" w:color="auto" w:fill="F2F2F2"/>
          </w:tcPr>
          <w:p w14:paraId="022DC977"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B460F6" w:rsidRPr="00217402" w14:paraId="526262E2" w14:textId="77777777" w:rsidTr="009A2C39">
        <w:tc>
          <w:tcPr>
            <w:tcW w:w="2178" w:type="dxa"/>
            <w:vMerge/>
          </w:tcPr>
          <w:p w14:paraId="75406786" w14:textId="77777777" w:rsidR="00B460F6" w:rsidRPr="00217402" w:rsidRDefault="00B460F6" w:rsidP="00B460F6">
            <w:pPr>
              <w:bidi/>
              <w:rPr>
                <w:rFonts w:ascii="Sakkal Majalla" w:hAnsi="Sakkal Majalla" w:cs="Sakkal Majalla"/>
                <w:sz w:val="22"/>
                <w:szCs w:val="22"/>
              </w:rPr>
            </w:pPr>
          </w:p>
        </w:tc>
        <w:tc>
          <w:tcPr>
            <w:tcW w:w="8460" w:type="dxa"/>
            <w:tcBorders>
              <w:bottom w:val="single" w:sz="12" w:space="0" w:color="auto"/>
            </w:tcBorders>
            <w:shd w:val="clear" w:color="auto" w:fill="F2F2F2"/>
          </w:tcPr>
          <w:p w14:paraId="42D07697"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B460F6" w:rsidRPr="00217402" w14:paraId="7AA4A2A6" w14:textId="77777777" w:rsidTr="009A2C39">
        <w:tc>
          <w:tcPr>
            <w:tcW w:w="2178" w:type="dxa"/>
            <w:vMerge w:val="restart"/>
            <w:tcBorders>
              <w:top w:val="single" w:sz="12" w:space="0" w:color="auto"/>
              <w:bottom w:val="single" w:sz="12" w:space="0" w:color="auto"/>
            </w:tcBorders>
            <w:shd w:val="clear" w:color="auto" w:fill="D9E2F3"/>
          </w:tcPr>
          <w:p w14:paraId="237864C0" w14:textId="77777777" w:rsidR="00B460F6" w:rsidRPr="00217402" w:rsidRDefault="00B460F6" w:rsidP="00B460F6">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5CBDDBC3"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B460F6" w:rsidRPr="00217402" w14:paraId="6F014681" w14:textId="77777777" w:rsidTr="009A2C39">
        <w:tc>
          <w:tcPr>
            <w:tcW w:w="2178" w:type="dxa"/>
            <w:vMerge/>
          </w:tcPr>
          <w:p w14:paraId="1900C034" w14:textId="77777777" w:rsidR="00B460F6" w:rsidRPr="00217402" w:rsidRDefault="00B460F6" w:rsidP="00B460F6">
            <w:pPr>
              <w:bidi/>
              <w:rPr>
                <w:rFonts w:ascii="Sakkal Majalla" w:hAnsi="Sakkal Majalla" w:cs="Sakkal Majalla"/>
                <w:sz w:val="28"/>
                <w:szCs w:val="28"/>
              </w:rPr>
            </w:pPr>
          </w:p>
        </w:tc>
        <w:tc>
          <w:tcPr>
            <w:tcW w:w="8460" w:type="dxa"/>
            <w:shd w:val="clear" w:color="auto" w:fill="F2F2F2"/>
          </w:tcPr>
          <w:p w14:paraId="4CDA5525"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B460F6" w:rsidRPr="00217402" w14:paraId="575BAB7C" w14:textId="77777777" w:rsidTr="009A2C39">
        <w:tc>
          <w:tcPr>
            <w:tcW w:w="2178" w:type="dxa"/>
            <w:vMerge/>
          </w:tcPr>
          <w:p w14:paraId="1EFAA971" w14:textId="77777777" w:rsidR="00B460F6" w:rsidRPr="00217402" w:rsidRDefault="00B460F6" w:rsidP="00B460F6">
            <w:pPr>
              <w:bidi/>
              <w:rPr>
                <w:rFonts w:ascii="Sakkal Majalla" w:hAnsi="Sakkal Majalla" w:cs="Sakkal Majalla"/>
                <w:sz w:val="28"/>
                <w:szCs w:val="28"/>
              </w:rPr>
            </w:pPr>
          </w:p>
        </w:tc>
        <w:tc>
          <w:tcPr>
            <w:tcW w:w="8460" w:type="dxa"/>
            <w:shd w:val="clear" w:color="auto" w:fill="F2F2F2"/>
          </w:tcPr>
          <w:p w14:paraId="11432128" w14:textId="5CB591AC"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B460F6" w:rsidRPr="00217402" w14:paraId="67547D42" w14:textId="77777777" w:rsidTr="009A2C39">
        <w:tc>
          <w:tcPr>
            <w:tcW w:w="2178" w:type="dxa"/>
            <w:vMerge/>
          </w:tcPr>
          <w:p w14:paraId="72CE9779" w14:textId="77777777" w:rsidR="00B460F6" w:rsidRPr="00217402" w:rsidRDefault="00B460F6" w:rsidP="00B460F6">
            <w:pPr>
              <w:bidi/>
              <w:rPr>
                <w:rFonts w:ascii="Sakkal Majalla" w:hAnsi="Sakkal Majalla" w:cs="Sakkal Majalla"/>
                <w:sz w:val="28"/>
                <w:szCs w:val="28"/>
              </w:rPr>
            </w:pPr>
          </w:p>
        </w:tc>
        <w:tc>
          <w:tcPr>
            <w:tcW w:w="8460" w:type="dxa"/>
            <w:tcBorders>
              <w:bottom w:val="single" w:sz="4" w:space="0" w:color="auto"/>
            </w:tcBorders>
            <w:shd w:val="clear" w:color="auto" w:fill="F2F2F2"/>
          </w:tcPr>
          <w:p w14:paraId="7A95FE94"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B460F6" w:rsidRPr="00217402" w14:paraId="1212827B" w14:textId="77777777" w:rsidTr="009A2C39">
        <w:tc>
          <w:tcPr>
            <w:tcW w:w="2178" w:type="dxa"/>
            <w:vMerge/>
          </w:tcPr>
          <w:p w14:paraId="2F5632CE" w14:textId="77777777" w:rsidR="00B460F6" w:rsidRPr="00217402" w:rsidRDefault="00B460F6" w:rsidP="00B460F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18E7DCE8"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B460F6" w:rsidRPr="00217402" w14:paraId="2797319A" w14:textId="77777777" w:rsidTr="009A2C39">
        <w:tc>
          <w:tcPr>
            <w:tcW w:w="2178" w:type="dxa"/>
            <w:vMerge w:val="restart"/>
            <w:tcBorders>
              <w:top w:val="single" w:sz="12" w:space="0" w:color="auto"/>
              <w:bottom w:val="single" w:sz="12" w:space="0" w:color="auto"/>
            </w:tcBorders>
            <w:shd w:val="clear" w:color="auto" w:fill="D9E2F3"/>
          </w:tcPr>
          <w:p w14:paraId="6B24661F" w14:textId="77777777" w:rsidR="00B460F6" w:rsidRPr="00217402" w:rsidRDefault="00B460F6" w:rsidP="00B460F6">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6E6EB15D"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B460F6" w:rsidRPr="00217402" w14:paraId="5D44DFC3" w14:textId="77777777" w:rsidTr="009A2C39">
        <w:tc>
          <w:tcPr>
            <w:tcW w:w="2178" w:type="dxa"/>
            <w:vMerge/>
          </w:tcPr>
          <w:p w14:paraId="6E569B50" w14:textId="77777777" w:rsidR="00B460F6" w:rsidRPr="00217402" w:rsidRDefault="00B460F6" w:rsidP="00B460F6">
            <w:pPr>
              <w:bidi/>
              <w:rPr>
                <w:rFonts w:ascii="Sakkal Majalla" w:hAnsi="Sakkal Majalla" w:cs="Sakkal Majalla"/>
                <w:sz w:val="28"/>
                <w:szCs w:val="28"/>
              </w:rPr>
            </w:pPr>
          </w:p>
        </w:tc>
        <w:tc>
          <w:tcPr>
            <w:tcW w:w="8460" w:type="dxa"/>
            <w:shd w:val="clear" w:color="auto" w:fill="F2F2F2"/>
          </w:tcPr>
          <w:p w14:paraId="0B913903"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B460F6" w:rsidRPr="00217402" w14:paraId="714358C9" w14:textId="77777777" w:rsidTr="009A2C39">
        <w:tc>
          <w:tcPr>
            <w:tcW w:w="2178" w:type="dxa"/>
            <w:vMerge/>
          </w:tcPr>
          <w:p w14:paraId="3649141B" w14:textId="77777777" w:rsidR="00B460F6" w:rsidRPr="00217402" w:rsidRDefault="00B460F6" w:rsidP="00B460F6">
            <w:pPr>
              <w:bidi/>
              <w:rPr>
                <w:rFonts w:ascii="Sakkal Majalla" w:hAnsi="Sakkal Majalla" w:cs="Sakkal Majalla"/>
                <w:sz w:val="28"/>
                <w:szCs w:val="28"/>
              </w:rPr>
            </w:pPr>
          </w:p>
        </w:tc>
        <w:tc>
          <w:tcPr>
            <w:tcW w:w="8460" w:type="dxa"/>
            <w:shd w:val="clear" w:color="auto" w:fill="F2F2F2"/>
          </w:tcPr>
          <w:p w14:paraId="2C95289A"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B460F6" w:rsidRPr="00217402" w14:paraId="44D431ED" w14:textId="77777777" w:rsidTr="009A2C39">
        <w:tc>
          <w:tcPr>
            <w:tcW w:w="2178" w:type="dxa"/>
            <w:vMerge/>
          </w:tcPr>
          <w:p w14:paraId="3FB203BE" w14:textId="77777777" w:rsidR="00B460F6" w:rsidRPr="00217402" w:rsidRDefault="00B460F6" w:rsidP="00B460F6">
            <w:pPr>
              <w:bidi/>
              <w:rPr>
                <w:rFonts w:ascii="Sakkal Majalla" w:hAnsi="Sakkal Majalla" w:cs="Sakkal Majalla"/>
                <w:sz w:val="28"/>
                <w:szCs w:val="28"/>
              </w:rPr>
            </w:pPr>
          </w:p>
        </w:tc>
        <w:tc>
          <w:tcPr>
            <w:tcW w:w="8460" w:type="dxa"/>
            <w:tcBorders>
              <w:bottom w:val="single" w:sz="4" w:space="0" w:color="auto"/>
            </w:tcBorders>
            <w:shd w:val="clear" w:color="auto" w:fill="F2F2F2"/>
          </w:tcPr>
          <w:p w14:paraId="2B465915"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B460F6" w:rsidRPr="00217402" w14:paraId="5ECC3478" w14:textId="77777777" w:rsidTr="009A2C39">
        <w:tc>
          <w:tcPr>
            <w:tcW w:w="2178" w:type="dxa"/>
            <w:vMerge/>
            <w:tcBorders>
              <w:bottom w:val="single" w:sz="12" w:space="0" w:color="auto"/>
            </w:tcBorders>
          </w:tcPr>
          <w:p w14:paraId="1B8C2CE3" w14:textId="77777777" w:rsidR="00B460F6" w:rsidRPr="00217402" w:rsidRDefault="00B460F6" w:rsidP="00B460F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6BA2C77F"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5B05B7A2" w14:textId="77777777" w:rsidR="00B460F6" w:rsidRPr="00217402" w:rsidRDefault="000059A7" w:rsidP="00B460F6">
      <w:pPr>
        <w:bidi/>
        <w:rPr>
          <w:rFonts w:ascii="Sakkal Majalla" w:hAnsi="Sakkal Majalla" w:cs="Sakkal Majalla"/>
          <w:sz w:val="28"/>
          <w:szCs w:val="28"/>
        </w:rPr>
      </w:pPr>
      <w:r>
        <w:rPr>
          <w:rFonts w:ascii="Sakkal Majalla" w:hAnsi="Sakkal Majalla" w:cs="Sakkal Majalla"/>
          <w:noProof/>
        </w:rPr>
        <w:pict w14:anchorId="3A8858BC">
          <v:shape id="Picture 1" o:spid="_x0000_s1034" type="#_x0000_t75" alt="A screenshot of a computer&#10;&#10;Description automatically generated with medium confidence" style="position:absolute;left:0;text-align:left;margin-left:-44.75pt;margin-top:0;width:611.1pt;height:796pt;z-index:-251659264;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B460F6" w:rsidRPr="00217402" w14:paraId="517E0DE7" w14:textId="77777777" w:rsidTr="009A2C39">
        <w:tc>
          <w:tcPr>
            <w:tcW w:w="2178" w:type="dxa"/>
            <w:vMerge w:val="restart"/>
            <w:tcBorders>
              <w:bottom w:val="single" w:sz="12" w:space="0" w:color="auto"/>
            </w:tcBorders>
            <w:shd w:val="clear" w:color="auto" w:fill="D9E2F3"/>
          </w:tcPr>
          <w:p w14:paraId="0562AC1B" w14:textId="77777777" w:rsidR="00B460F6" w:rsidRPr="00217402" w:rsidRDefault="00B460F6" w:rsidP="00B460F6">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35712AA7"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B460F6" w:rsidRPr="00217402" w14:paraId="76C55086" w14:textId="77777777" w:rsidTr="009A2C39">
        <w:tc>
          <w:tcPr>
            <w:tcW w:w="2178" w:type="dxa"/>
            <w:vMerge/>
            <w:tcBorders>
              <w:bottom w:val="single" w:sz="12" w:space="0" w:color="auto"/>
            </w:tcBorders>
            <w:shd w:val="clear" w:color="auto" w:fill="D9E2F3"/>
          </w:tcPr>
          <w:p w14:paraId="6BE82A76" w14:textId="77777777" w:rsidR="00B460F6" w:rsidRPr="00217402" w:rsidRDefault="00B460F6" w:rsidP="00B460F6">
            <w:pPr>
              <w:bidi/>
              <w:rPr>
                <w:rFonts w:ascii="Sakkal Majalla" w:hAnsi="Sakkal Majalla" w:cs="Sakkal Majalla"/>
                <w:sz w:val="22"/>
                <w:szCs w:val="22"/>
              </w:rPr>
            </w:pPr>
          </w:p>
        </w:tc>
        <w:tc>
          <w:tcPr>
            <w:tcW w:w="8460" w:type="dxa"/>
            <w:shd w:val="clear" w:color="auto" w:fill="F2F2F2"/>
          </w:tcPr>
          <w:p w14:paraId="44B1DF03"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B460F6" w:rsidRPr="00217402" w14:paraId="720BFC9C" w14:textId="77777777" w:rsidTr="009A2C39">
        <w:tc>
          <w:tcPr>
            <w:tcW w:w="2178" w:type="dxa"/>
            <w:vMerge/>
            <w:tcBorders>
              <w:bottom w:val="single" w:sz="12" w:space="0" w:color="auto"/>
            </w:tcBorders>
            <w:shd w:val="clear" w:color="auto" w:fill="D9E2F3"/>
          </w:tcPr>
          <w:p w14:paraId="0AAF2E1A" w14:textId="77777777" w:rsidR="00B460F6" w:rsidRPr="00217402" w:rsidRDefault="00B460F6" w:rsidP="00B460F6">
            <w:pPr>
              <w:bidi/>
              <w:rPr>
                <w:rFonts w:ascii="Sakkal Majalla" w:hAnsi="Sakkal Majalla" w:cs="Sakkal Majalla"/>
                <w:sz w:val="22"/>
                <w:szCs w:val="22"/>
              </w:rPr>
            </w:pPr>
          </w:p>
        </w:tc>
        <w:tc>
          <w:tcPr>
            <w:tcW w:w="8460" w:type="dxa"/>
            <w:shd w:val="clear" w:color="auto" w:fill="F2F2F2"/>
          </w:tcPr>
          <w:p w14:paraId="7D885403"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B460F6" w:rsidRPr="00217402" w14:paraId="07269A1E" w14:textId="77777777" w:rsidTr="009A2C39">
        <w:tc>
          <w:tcPr>
            <w:tcW w:w="2178" w:type="dxa"/>
            <w:vMerge/>
            <w:tcBorders>
              <w:bottom w:val="single" w:sz="12" w:space="0" w:color="auto"/>
            </w:tcBorders>
            <w:shd w:val="clear" w:color="auto" w:fill="D9E2F3"/>
          </w:tcPr>
          <w:p w14:paraId="50E6E0E3" w14:textId="77777777" w:rsidR="00B460F6" w:rsidRPr="00217402" w:rsidRDefault="00B460F6" w:rsidP="00B460F6">
            <w:pPr>
              <w:bidi/>
              <w:rPr>
                <w:rFonts w:ascii="Sakkal Majalla" w:hAnsi="Sakkal Majalla" w:cs="Sakkal Majalla"/>
                <w:sz w:val="22"/>
                <w:szCs w:val="22"/>
              </w:rPr>
            </w:pPr>
          </w:p>
        </w:tc>
        <w:tc>
          <w:tcPr>
            <w:tcW w:w="8460" w:type="dxa"/>
            <w:shd w:val="clear" w:color="auto" w:fill="F2F2F2"/>
          </w:tcPr>
          <w:p w14:paraId="444E33D0"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B460F6" w:rsidRPr="00217402" w14:paraId="0010C6B9" w14:textId="77777777" w:rsidTr="009A2C39">
        <w:tc>
          <w:tcPr>
            <w:tcW w:w="2178" w:type="dxa"/>
            <w:vMerge w:val="restart"/>
            <w:tcBorders>
              <w:top w:val="single" w:sz="12" w:space="0" w:color="auto"/>
              <w:bottom w:val="single" w:sz="12" w:space="0" w:color="auto"/>
            </w:tcBorders>
            <w:shd w:val="clear" w:color="auto" w:fill="D9E2F3"/>
          </w:tcPr>
          <w:p w14:paraId="6EF3256C" w14:textId="77777777" w:rsidR="00B460F6" w:rsidRPr="00217402" w:rsidRDefault="00B460F6" w:rsidP="00B460F6">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00EF86BE"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B460F6" w:rsidRPr="00217402" w14:paraId="33BBF1E4" w14:textId="77777777" w:rsidTr="009A2C39">
        <w:tc>
          <w:tcPr>
            <w:tcW w:w="2178" w:type="dxa"/>
            <w:vMerge/>
            <w:tcBorders>
              <w:top w:val="single" w:sz="12" w:space="0" w:color="auto"/>
              <w:bottom w:val="single" w:sz="12" w:space="0" w:color="auto"/>
            </w:tcBorders>
            <w:shd w:val="clear" w:color="auto" w:fill="D9E2F3"/>
          </w:tcPr>
          <w:p w14:paraId="1EA45451" w14:textId="77777777" w:rsidR="00B460F6" w:rsidRPr="00217402" w:rsidRDefault="00B460F6" w:rsidP="00B460F6">
            <w:pPr>
              <w:bidi/>
              <w:rPr>
                <w:rFonts w:ascii="Sakkal Majalla" w:hAnsi="Sakkal Majalla" w:cs="Sakkal Majalla"/>
                <w:sz w:val="28"/>
                <w:szCs w:val="28"/>
              </w:rPr>
            </w:pPr>
          </w:p>
        </w:tc>
        <w:tc>
          <w:tcPr>
            <w:tcW w:w="8460" w:type="dxa"/>
            <w:shd w:val="clear" w:color="auto" w:fill="F2F2F2"/>
          </w:tcPr>
          <w:p w14:paraId="214373BE"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B460F6" w:rsidRPr="00217402" w14:paraId="5AAC40B4" w14:textId="77777777" w:rsidTr="009A2C39">
        <w:tc>
          <w:tcPr>
            <w:tcW w:w="2178" w:type="dxa"/>
            <w:vMerge/>
            <w:tcBorders>
              <w:top w:val="single" w:sz="12" w:space="0" w:color="auto"/>
              <w:bottom w:val="single" w:sz="12" w:space="0" w:color="auto"/>
            </w:tcBorders>
            <w:shd w:val="clear" w:color="auto" w:fill="D9E2F3"/>
          </w:tcPr>
          <w:p w14:paraId="4C3B79F4" w14:textId="77777777" w:rsidR="00B460F6" w:rsidRPr="00217402" w:rsidRDefault="00B460F6" w:rsidP="00B460F6">
            <w:pPr>
              <w:bidi/>
              <w:rPr>
                <w:rFonts w:ascii="Sakkal Majalla" w:hAnsi="Sakkal Majalla" w:cs="Sakkal Majalla"/>
                <w:sz w:val="28"/>
                <w:szCs w:val="28"/>
              </w:rPr>
            </w:pPr>
          </w:p>
        </w:tc>
        <w:tc>
          <w:tcPr>
            <w:tcW w:w="8460" w:type="dxa"/>
            <w:shd w:val="clear" w:color="auto" w:fill="F2F2F2"/>
          </w:tcPr>
          <w:p w14:paraId="20C257BA"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B460F6" w:rsidRPr="00217402" w14:paraId="58A18452" w14:textId="77777777" w:rsidTr="009A2C39">
        <w:tc>
          <w:tcPr>
            <w:tcW w:w="2178" w:type="dxa"/>
            <w:vMerge/>
            <w:tcBorders>
              <w:top w:val="single" w:sz="12" w:space="0" w:color="auto"/>
              <w:bottom w:val="single" w:sz="12" w:space="0" w:color="auto"/>
            </w:tcBorders>
            <w:shd w:val="clear" w:color="auto" w:fill="D9E2F3"/>
          </w:tcPr>
          <w:p w14:paraId="1D3B13D5" w14:textId="77777777" w:rsidR="00B460F6" w:rsidRPr="00217402" w:rsidRDefault="00B460F6" w:rsidP="00B460F6">
            <w:pPr>
              <w:bidi/>
              <w:rPr>
                <w:rFonts w:ascii="Sakkal Majalla" w:hAnsi="Sakkal Majalla" w:cs="Sakkal Majalla"/>
                <w:sz w:val="28"/>
                <w:szCs w:val="28"/>
              </w:rPr>
            </w:pPr>
          </w:p>
        </w:tc>
        <w:tc>
          <w:tcPr>
            <w:tcW w:w="8460" w:type="dxa"/>
            <w:tcBorders>
              <w:bottom w:val="single" w:sz="4" w:space="0" w:color="auto"/>
            </w:tcBorders>
            <w:shd w:val="clear" w:color="auto" w:fill="F2F2F2"/>
          </w:tcPr>
          <w:p w14:paraId="7E748F11"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B460F6" w:rsidRPr="00217402" w14:paraId="0DBE97C5" w14:textId="77777777" w:rsidTr="009A2C39">
        <w:tc>
          <w:tcPr>
            <w:tcW w:w="2178" w:type="dxa"/>
            <w:vMerge w:val="restart"/>
            <w:tcBorders>
              <w:top w:val="single" w:sz="12" w:space="0" w:color="auto"/>
              <w:bottom w:val="single" w:sz="12" w:space="0" w:color="auto"/>
            </w:tcBorders>
            <w:shd w:val="clear" w:color="auto" w:fill="D9E2F3"/>
          </w:tcPr>
          <w:p w14:paraId="475E3573" w14:textId="77777777" w:rsidR="00B460F6" w:rsidRPr="00217402" w:rsidRDefault="00B460F6" w:rsidP="00B460F6">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043559B1"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B460F6" w:rsidRPr="00217402" w14:paraId="083C15D3" w14:textId="77777777" w:rsidTr="009A2C39">
        <w:tc>
          <w:tcPr>
            <w:tcW w:w="2178" w:type="dxa"/>
            <w:vMerge/>
            <w:tcBorders>
              <w:bottom w:val="single" w:sz="12" w:space="0" w:color="auto"/>
            </w:tcBorders>
            <w:shd w:val="clear" w:color="auto" w:fill="D9E2F3"/>
          </w:tcPr>
          <w:p w14:paraId="63D12A72" w14:textId="77777777" w:rsidR="00B460F6" w:rsidRPr="00217402" w:rsidRDefault="00B460F6" w:rsidP="00B460F6">
            <w:pPr>
              <w:bidi/>
              <w:rPr>
                <w:rFonts w:ascii="Sakkal Majalla" w:hAnsi="Sakkal Majalla" w:cs="Sakkal Majalla"/>
                <w:sz w:val="28"/>
                <w:szCs w:val="28"/>
              </w:rPr>
            </w:pPr>
          </w:p>
        </w:tc>
        <w:tc>
          <w:tcPr>
            <w:tcW w:w="8460" w:type="dxa"/>
            <w:tcBorders>
              <w:bottom w:val="single" w:sz="4" w:space="0" w:color="auto"/>
            </w:tcBorders>
            <w:shd w:val="clear" w:color="auto" w:fill="F2F2F2"/>
          </w:tcPr>
          <w:p w14:paraId="6A5634FF"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B460F6" w:rsidRPr="00217402" w14:paraId="4A8DBC37" w14:textId="77777777" w:rsidTr="009A2C39">
        <w:tc>
          <w:tcPr>
            <w:tcW w:w="2178" w:type="dxa"/>
            <w:vMerge/>
            <w:tcBorders>
              <w:bottom w:val="single" w:sz="12" w:space="0" w:color="auto"/>
            </w:tcBorders>
            <w:shd w:val="clear" w:color="auto" w:fill="D9E2F3"/>
          </w:tcPr>
          <w:p w14:paraId="041DE472" w14:textId="77777777" w:rsidR="00B460F6" w:rsidRPr="00217402" w:rsidRDefault="00B460F6" w:rsidP="00B460F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09D1A403"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B460F6" w:rsidRPr="00217402" w14:paraId="5EC50CE4" w14:textId="77777777" w:rsidTr="009A2C39">
        <w:tc>
          <w:tcPr>
            <w:tcW w:w="2178" w:type="dxa"/>
            <w:vMerge w:val="restart"/>
            <w:tcBorders>
              <w:top w:val="single" w:sz="12" w:space="0" w:color="auto"/>
              <w:bottom w:val="single" w:sz="12" w:space="0" w:color="auto"/>
            </w:tcBorders>
            <w:shd w:val="clear" w:color="auto" w:fill="D9E2F3"/>
          </w:tcPr>
          <w:p w14:paraId="3A7A5B81" w14:textId="77777777" w:rsidR="00B460F6" w:rsidRPr="00217402" w:rsidRDefault="00B460F6" w:rsidP="00B460F6">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03152F52" w14:textId="77777777" w:rsidR="00B460F6" w:rsidRPr="00496897" w:rsidRDefault="00B460F6" w:rsidP="00B460F6">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B460F6" w:rsidRPr="00217402" w14:paraId="2BD00C1A" w14:textId="77777777" w:rsidTr="009A2C39">
        <w:tc>
          <w:tcPr>
            <w:tcW w:w="2178" w:type="dxa"/>
            <w:vMerge/>
            <w:tcBorders>
              <w:bottom w:val="single" w:sz="12" w:space="0" w:color="auto"/>
            </w:tcBorders>
            <w:shd w:val="clear" w:color="auto" w:fill="D9E2F3"/>
          </w:tcPr>
          <w:p w14:paraId="488C7832" w14:textId="77777777" w:rsidR="00B460F6" w:rsidRPr="00217402" w:rsidRDefault="00B460F6" w:rsidP="00B460F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FEC0030" w14:textId="77777777" w:rsidR="00B460F6" w:rsidRPr="00496897" w:rsidRDefault="00B460F6" w:rsidP="00B460F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bookmarkEnd w:id="1"/>
    </w:tbl>
    <w:p w14:paraId="087E6D55" w14:textId="77777777" w:rsidR="000E33FC" w:rsidRPr="00B460F6" w:rsidRDefault="000E33FC" w:rsidP="00B460F6"/>
    <w:sectPr w:rsidR="000E33FC" w:rsidRPr="00B460F6"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1485" w14:textId="77777777" w:rsidR="00746FC5" w:rsidRDefault="00746FC5">
      <w:r>
        <w:separator/>
      </w:r>
    </w:p>
  </w:endnote>
  <w:endnote w:type="continuationSeparator" w:id="0">
    <w:p w14:paraId="5FD9C178" w14:textId="77777777" w:rsidR="00746FC5" w:rsidRDefault="0074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6D5A"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6D5B"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6D5D"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3EAD0" w14:textId="77777777" w:rsidR="00746FC5" w:rsidRDefault="00746FC5">
      <w:r>
        <w:separator/>
      </w:r>
    </w:p>
  </w:footnote>
  <w:footnote w:type="continuationSeparator" w:id="0">
    <w:p w14:paraId="7370CBF9" w14:textId="77777777" w:rsidR="00746FC5" w:rsidRDefault="0074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6D58"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6D59"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6D5C"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DF1CD2C8">
      <w:start w:val="1"/>
      <w:numFmt w:val="bullet"/>
      <w:lvlText w:val=""/>
      <w:lvlJc w:val="left"/>
      <w:pPr>
        <w:ind w:left="360" w:hanging="360"/>
      </w:pPr>
      <w:rPr>
        <w:rFonts w:ascii="Symbol" w:hAnsi="Symbol" w:hint="default"/>
      </w:rPr>
    </w:lvl>
    <w:lvl w:ilvl="1" w:tplc="BAF25B9C" w:tentative="1">
      <w:start w:val="1"/>
      <w:numFmt w:val="bullet"/>
      <w:lvlText w:val="o"/>
      <w:lvlJc w:val="left"/>
      <w:pPr>
        <w:ind w:left="1080" w:hanging="360"/>
      </w:pPr>
      <w:rPr>
        <w:rFonts w:ascii="Courier New" w:hAnsi="Courier New" w:cs="Courier New" w:hint="default"/>
      </w:rPr>
    </w:lvl>
    <w:lvl w:ilvl="2" w:tplc="DAB4B666" w:tentative="1">
      <w:start w:val="1"/>
      <w:numFmt w:val="bullet"/>
      <w:lvlText w:val=""/>
      <w:lvlJc w:val="left"/>
      <w:pPr>
        <w:ind w:left="1800" w:hanging="360"/>
      </w:pPr>
      <w:rPr>
        <w:rFonts w:ascii="Wingdings" w:hAnsi="Wingdings" w:hint="default"/>
      </w:rPr>
    </w:lvl>
    <w:lvl w:ilvl="3" w:tplc="038A006C" w:tentative="1">
      <w:start w:val="1"/>
      <w:numFmt w:val="bullet"/>
      <w:lvlText w:val=""/>
      <w:lvlJc w:val="left"/>
      <w:pPr>
        <w:ind w:left="2520" w:hanging="360"/>
      </w:pPr>
      <w:rPr>
        <w:rFonts w:ascii="Symbol" w:hAnsi="Symbol" w:hint="default"/>
      </w:rPr>
    </w:lvl>
    <w:lvl w:ilvl="4" w:tplc="7E76D9E4" w:tentative="1">
      <w:start w:val="1"/>
      <w:numFmt w:val="bullet"/>
      <w:lvlText w:val="o"/>
      <w:lvlJc w:val="left"/>
      <w:pPr>
        <w:ind w:left="3240" w:hanging="360"/>
      </w:pPr>
      <w:rPr>
        <w:rFonts w:ascii="Courier New" w:hAnsi="Courier New" w:cs="Courier New" w:hint="default"/>
      </w:rPr>
    </w:lvl>
    <w:lvl w:ilvl="5" w:tplc="B060EE02" w:tentative="1">
      <w:start w:val="1"/>
      <w:numFmt w:val="bullet"/>
      <w:lvlText w:val=""/>
      <w:lvlJc w:val="left"/>
      <w:pPr>
        <w:ind w:left="3960" w:hanging="360"/>
      </w:pPr>
      <w:rPr>
        <w:rFonts w:ascii="Wingdings" w:hAnsi="Wingdings" w:hint="default"/>
      </w:rPr>
    </w:lvl>
    <w:lvl w:ilvl="6" w:tplc="70F25738" w:tentative="1">
      <w:start w:val="1"/>
      <w:numFmt w:val="bullet"/>
      <w:lvlText w:val=""/>
      <w:lvlJc w:val="left"/>
      <w:pPr>
        <w:ind w:left="4680" w:hanging="360"/>
      </w:pPr>
      <w:rPr>
        <w:rFonts w:ascii="Symbol" w:hAnsi="Symbol" w:hint="default"/>
      </w:rPr>
    </w:lvl>
    <w:lvl w:ilvl="7" w:tplc="98A2F038" w:tentative="1">
      <w:start w:val="1"/>
      <w:numFmt w:val="bullet"/>
      <w:lvlText w:val="o"/>
      <w:lvlJc w:val="left"/>
      <w:pPr>
        <w:ind w:left="5400" w:hanging="360"/>
      </w:pPr>
      <w:rPr>
        <w:rFonts w:ascii="Courier New" w:hAnsi="Courier New" w:cs="Courier New" w:hint="default"/>
      </w:rPr>
    </w:lvl>
    <w:lvl w:ilvl="8" w:tplc="4A680108"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FA18FED6">
      <w:start w:val="1"/>
      <w:numFmt w:val="bullet"/>
      <w:lvlText w:val=""/>
      <w:lvlJc w:val="left"/>
      <w:pPr>
        <w:ind w:left="360" w:hanging="360"/>
      </w:pPr>
      <w:rPr>
        <w:rFonts w:ascii="Symbol" w:hAnsi="Symbol" w:hint="default"/>
      </w:rPr>
    </w:lvl>
    <w:lvl w:ilvl="1" w:tplc="16F07A0E" w:tentative="1">
      <w:start w:val="1"/>
      <w:numFmt w:val="bullet"/>
      <w:lvlText w:val="o"/>
      <w:lvlJc w:val="left"/>
      <w:pPr>
        <w:ind w:left="1080" w:hanging="360"/>
      </w:pPr>
      <w:rPr>
        <w:rFonts w:ascii="Courier New" w:hAnsi="Courier New" w:cs="Courier New" w:hint="default"/>
      </w:rPr>
    </w:lvl>
    <w:lvl w:ilvl="2" w:tplc="F3AE1846" w:tentative="1">
      <w:start w:val="1"/>
      <w:numFmt w:val="bullet"/>
      <w:lvlText w:val=""/>
      <w:lvlJc w:val="left"/>
      <w:pPr>
        <w:ind w:left="1800" w:hanging="360"/>
      </w:pPr>
      <w:rPr>
        <w:rFonts w:ascii="Wingdings" w:hAnsi="Wingdings" w:hint="default"/>
      </w:rPr>
    </w:lvl>
    <w:lvl w:ilvl="3" w:tplc="B02CFD2E" w:tentative="1">
      <w:start w:val="1"/>
      <w:numFmt w:val="bullet"/>
      <w:lvlText w:val=""/>
      <w:lvlJc w:val="left"/>
      <w:pPr>
        <w:ind w:left="2520" w:hanging="360"/>
      </w:pPr>
      <w:rPr>
        <w:rFonts w:ascii="Symbol" w:hAnsi="Symbol" w:hint="default"/>
      </w:rPr>
    </w:lvl>
    <w:lvl w:ilvl="4" w:tplc="6B46BA98" w:tentative="1">
      <w:start w:val="1"/>
      <w:numFmt w:val="bullet"/>
      <w:lvlText w:val="o"/>
      <w:lvlJc w:val="left"/>
      <w:pPr>
        <w:ind w:left="3240" w:hanging="360"/>
      </w:pPr>
      <w:rPr>
        <w:rFonts w:ascii="Courier New" w:hAnsi="Courier New" w:cs="Courier New" w:hint="default"/>
      </w:rPr>
    </w:lvl>
    <w:lvl w:ilvl="5" w:tplc="D0FA9B6C" w:tentative="1">
      <w:start w:val="1"/>
      <w:numFmt w:val="bullet"/>
      <w:lvlText w:val=""/>
      <w:lvlJc w:val="left"/>
      <w:pPr>
        <w:ind w:left="3960" w:hanging="360"/>
      </w:pPr>
      <w:rPr>
        <w:rFonts w:ascii="Wingdings" w:hAnsi="Wingdings" w:hint="default"/>
      </w:rPr>
    </w:lvl>
    <w:lvl w:ilvl="6" w:tplc="F5567B1A" w:tentative="1">
      <w:start w:val="1"/>
      <w:numFmt w:val="bullet"/>
      <w:lvlText w:val=""/>
      <w:lvlJc w:val="left"/>
      <w:pPr>
        <w:ind w:left="4680" w:hanging="360"/>
      </w:pPr>
      <w:rPr>
        <w:rFonts w:ascii="Symbol" w:hAnsi="Symbol" w:hint="default"/>
      </w:rPr>
    </w:lvl>
    <w:lvl w:ilvl="7" w:tplc="F3361AB0" w:tentative="1">
      <w:start w:val="1"/>
      <w:numFmt w:val="bullet"/>
      <w:lvlText w:val="o"/>
      <w:lvlJc w:val="left"/>
      <w:pPr>
        <w:ind w:left="5400" w:hanging="360"/>
      </w:pPr>
      <w:rPr>
        <w:rFonts w:ascii="Courier New" w:hAnsi="Courier New" w:cs="Courier New" w:hint="default"/>
      </w:rPr>
    </w:lvl>
    <w:lvl w:ilvl="8" w:tplc="44EA2192" w:tentative="1">
      <w:start w:val="1"/>
      <w:numFmt w:val="bullet"/>
      <w:lvlText w:val=""/>
      <w:lvlJc w:val="left"/>
      <w:pPr>
        <w:ind w:left="6120" w:hanging="360"/>
      </w:pPr>
      <w:rPr>
        <w:rFonts w:ascii="Wingdings" w:hAnsi="Wingdings" w:hint="default"/>
      </w:rPr>
    </w:lvl>
  </w:abstractNum>
  <w:abstractNum w:abstractNumId="2" w15:restartNumberingAfterBreak="0">
    <w:nsid w:val="7AF26E9B"/>
    <w:multiLevelType w:val="hybridMultilevel"/>
    <w:tmpl w:val="F37C6440"/>
    <w:lvl w:ilvl="0" w:tplc="95C889B0">
      <w:start w:val="1"/>
      <w:numFmt w:val="bullet"/>
      <w:lvlText w:val=""/>
      <w:lvlJc w:val="left"/>
      <w:pPr>
        <w:ind w:left="360" w:hanging="360"/>
      </w:pPr>
      <w:rPr>
        <w:rFonts w:ascii="Symbol" w:hAnsi="Symbol" w:hint="default"/>
      </w:rPr>
    </w:lvl>
    <w:lvl w:ilvl="1" w:tplc="C7FEF3B0" w:tentative="1">
      <w:start w:val="1"/>
      <w:numFmt w:val="bullet"/>
      <w:lvlText w:val="o"/>
      <w:lvlJc w:val="left"/>
      <w:pPr>
        <w:ind w:left="1080" w:hanging="360"/>
      </w:pPr>
      <w:rPr>
        <w:rFonts w:ascii="Courier New" w:hAnsi="Courier New" w:cs="Courier New" w:hint="default"/>
      </w:rPr>
    </w:lvl>
    <w:lvl w:ilvl="2" w:tplc="36D622A8" w:tentative="1">
      <w:start w:val="1"/>
      <w:numFmt w:val="bullet"/>
      <w:lvlText w:val=""/>
      <w:lvlJc w:val="left"/>
      <w:pPr>
        <w:ind w:left="1800" w:hanging="360"/>
      </w:pPr>
      <w:rPr>
        <w:rFonts w:ascii="Wingdings" w:hAnsi="Wingdings" w:hint="default"/>
      </w:rPr>
    </w:lvl>
    <w:lvl w:ilvl="3" w:tplc="028E69D4" w:tentative="1">
      <w:start w:val="1"/>
      <w:numFmt w:val="bullet"/>
      <w:lvlText w:val=""/>
      <w:lvlJc w:val="left"/>
      <w:pPr>
        <w:ind w:left="2520" w:hanging="360"/>
      </w:pPr>
      <w:rPr>
        <w:rFonts w:ascii="Symbol" w:hAnsi="Symbol" w:hint="default"/>
      </w:rPr>
    </w:lvl>
    <w:lvl w:ilvl="4" w:tplc="532C1D78" w:tentative="1">
      <w:start w:val="1"/>
      <w:numFmt w:val="bullet"/>
      <w:lvlText w:val="o"/>
      <w:lvlJc w:val="left"/>
      <w:pPr>
        <w:ind w:left="3240" w:hanging="360"/>
      </w:pPr>
      <w:rPr>
        <w:rFonts w:ascii="Courier New" w:hAnsi="Courier New" w:cs="Courier New" w:hint="default"/>
      </w:rPr>
    </w:lvl>
    <w:lvl w:ilvl="5" w:tplc="E0A841D4" w:tentative="1">
      <w:start w:val="1"/>
      <w:numFmt w:val="bullet"/>
      <w:lvlText w:val=""/>
      <w:lvlJc w:val="left"/>
      <w:pPr>
        <w:ind w:left="3960" w:hanging="360"/>
      </w:pPr>
      <w:rPr>
        <w:rFonts w:ascii="Wingdings" w:hAnsi="Wingdings" w:hint="default"/>
      </w:rPr>
    </w:lvl>
    <w:lvl w:ilvl="6" w:tplc="EBA81506" w:tentative="1">
      <w:start w:val="1"/>
      <w:numFmt w:val="bullet"/>
      <w:lvlText w:val=""/>
      <w:lvlJc w:val="left"/>
      <w:pPr>
        <w:ind w:left="4680" w:hanging="360"/>
      </w:pPr>
      <w:rPr>
        <w:rFonts w:ascii="Symbol" w:hAnsi="Symbol" w:hint="default"/>
      </w:rPr>
    </w:lvl>
    <w:lvl w:ilvl="7" w:tplc="CB1A569C" w:tentative="1">
      <w:start w:val="1"/>
      <w:numFmt w:val="bullet"/>
      <w:lvlText w:val="o"/>
      <w:lvlJc w:val="left"/>
      <w:pPr>
        <w:ind w:left="5400" w:hanging="360"/>
      </w:pPr>
      <w:rPr>
        <w:rFonts w:ascii="Courier New" w:hAnsi="Courier New" w:cs="Courier New" w:hint="default"/>
      </w:rPr>
    </w:lvl>
    <w:lvl w:ilvl="8" w:tplc="FDE856FC" w:tentative="1">
      <w:start w:val="1"/>
      <w:numFmt w:val="bullet"/>
      <w:lvlText w:val=""/>
      <w:lvlJc w:val="left"/>
      <w:pPr>
        <w:ind w:left="6120" w:hanging="360"/>
      </w:pPr>
      <w:rPr>
        <w:rFonts w:ascii="Wingdings" w:hAnsi="Wingdings" w:hint="default"/>
      </w:rPr>
    </w:lvl>
  </w:abstractNum>
  <w:abstractNum w:abstractNumId="3" w15:restartNumberingAfterBreak="0">
    <w:nsid w:val="7CA75529"/>
    <w:multiLevelType w:val="hybridMultilevel"/>
    <w:tmpl w:val="89A8619C"/>
    <w:lvl w:ilvl="0" w:tplc="C0A6305A">
      <w:start w:val="1"/>
      <w:numFmt w:val="bullet"/>
      <w:lvlText w:val=""/>
      <w:lvlJc w:val="left"/>
      <w:pPr>
        <w:ind w:left="360" w:hanging="360"/>
      </w:pPr>
      <w:rPr>
        <w:rFonts w:ascii="Symbol" w:hAnsi="Symbol" w:hint="default"/>
      </w:rPr>
    </w:lvl>
    <w:lvl w:ilvl="1" w:tplc="40BE49A8" w:tentative="1">
      <w:start w:val="1"/>
      <w:numFmt w:val="bullet"/>
      <w:lvlText w:val="o"/>
      <w:lvlJc w:val="left"/>
      <w:pPr>
        <w:ind w:left="1080" w:hanging="360"/>
      </w:pPr>
      <w:rPr>
        <w:rFonts w:ascii="Courier New" w:hAnsi="Courier New" w:cs="Courier New" w:hint="default"/>
      </w:rPr>
    </w:lvl>
    <w:lvl w:ilvl="2" w:tplc="151C1432" w:tentative="1">
      <w:start w:val="1"/>
      <w:numFmt w:val="bullet"/>
      <w:lvlText w:val=""/>
      <w:lvlJc w:val="left"/>
      <w:pPr>
        <w:ind w:left="1800" w:hanging="360"/>
      </w:pPr>
      <w:rPr>
        <w:rFonts w:ascii="Wingdings" w:hAnsi="Wingdings" w:hint="default"/>
      </w:rPr>
    </w:lvl>
    <w:lvl w:ilvl="3" w:tplc="1036317E" w:tentative="1">
      <w:start w:val="1"/>
      <w:numFmt w:val="bullet"/>
      <w:lvlText w:val=""/>
      <w:lvlJc w:val="left"/>
      <w:pPr>
        <w:ind w:left="2520" w:hanging="360"/>
      </w:pPr>
      <w:rPr>
        <w:rFonts w:ascii="Symbol" w:hAnsi="Symbol" w:hint="default"/>
      </w:rPr>
    </w:lvl>
    <w:lvl w:ilvl="4" w:tplc="F77618D6" w:tentative="1">
      <w:start w:val="1"/>
      <w:numFmt w:val="bullet"/>
      <w:lvlText w:val="o"/>
      <w:lvlJc w:val="left"/>
      <w:pPr>
        <w:ind w:left="3240" w:hanging="360"/>
      </w:pPr>
      <w:rPr>
        <w:rFonts w:ascii="Courier New" w:hAnsi="Courier New" w:cs="Courier New" w:hint="default"/>
      </w:rPr>
    </w:lvl>
    <w:lvl w:ilvl="5" w:tplc="39749F3E" w:tentative="1">
      <w:start w:val="1"/>
      <w:numFmt w:val="bullet"/>
      <w:lvlText w:val=""/>
      <w:lvlJc w:val="left"/>
      <w:pPr>
        <w:ind w:left="3960" w:hanging="360"/>
      </w:pPr>
      <w:rPr>
        <w:rFonts w:ascii="Wingdings" w:hAnsi="Wingdings" w:hint="default"/>
      </w:rPr>
    </w:lvl>
    <w:lvl w:ilvl="6" w:tplc="7F5C89E0" w:tentative="1">
      <w:start w:val="1"/>
      <w:numFmt w:val="bullet"/>
      <w:lvlText w:val=""/>
      <w:lvlJc w:val="left"/>
      <w:pPr>
        <w:ind w:left="4680" w:hanging="360"/>
      </w:pPr>
      <w:rPr>
        <w:rFonts w:ascii="Symbol" w:hAnsi="Symbol" w:hint="default"/>
      </w:rPr>
    </w:lvl>
    <w:lvl w:ilvl="7" w:tplc="B8CAB720" w:tentative="1">
      <w:start w:val="1"/>
      <w:numFmt w:val="bullet"/>
      <w:lvlText w:val="o"/>
      <w:lvlJc w:val="left"/>
      <w:pPr>
        <w:ind w:left="5400" w:hanging="360"/>
      </w:pPr>
      <w:rPr>
        <w:rFonts w:ascii="Courier New" w:hAnsi="Courier New" w:cs="Courier New" w:hint="default"/>
      </w:rPr>
    </w:lvl>
    <w:lvl w:ilvl="8" w:tplc="F1C81C72" w:tentative="1">
      <w:start w:val="1"/>
      <w:numFmt w:val="bullet"/>
      <w:lvlText w:val=""/>
      <w:lvlJc w:val="left"/>
      <w:pPr>
        <w:ind w:left="6120" w:hanging="360"/>
      </w:pPr>
      <w:rPr>
        <w:rFonts w:ascii="Wingdings" w:hAnsi="Wingdings" w:hint="default"/>
      </w:rPr>
    </w:lvl>
  </w:abstractNum>
  <w:num w:numId="1" w16cid:durableId="460146839">
    <w:abstractNumId w:val="0"/>
  </w:num>
  <w:num w:numId="2" w16cid:durableId="1911497829">
    <w:abstractNumId w:val="1"/>
  </w:num>
  <w:num w:numId="3" w16cid:durableId="751514780">
    <w:abstractNumId w:val="2"/>
  </w:num>
  <w:num w:numId="4" w16cid:durableId="1167863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09D"/>
    <w:rsid w:val="00000008"/>
    <w:rsid w:val="000059A7"/>
    <w:rsid w:val="00057B48"/>
    <w:rsid w:val="000B5550"/>
    <w:rsid w:val="000B7182"/>
    <w:rsid w:val="000D3D6E"/>
    <w:rsid w:val="000E33FC"/>
    <w:rsid w:val="001369D1"/>
    <w:rsid w:val="00146855"/>
    <w:rsid w:val="00172C30"/>
    <w:rsid w:val="00192407"/>
    <w:rsid w:val="001B721B"/>
    <w:rsid w:val="001E2CA2"/>
    <w:rsid w:val="00277F3E"/>
    <w:rsid w:val="002A77C4"/>
    <w:rsid w:val="002F36D6"/>
    <w:rsid w:val="003068AA"/>
    <w:rsid w:val="00367925"/>
    <w:rsid w:val="003B09A0"/>
    <w:rsid w:val="003B3358"/>
    <w:rsid w:val="003B6733"/>
    <w:rsid w:val="003F6A90"/>
    <w:rsid w:val="00431197"/>
    <w:rsid w:val="00444C2E"/>
    <w:rsid w:val="004605C8"/>
    <w:rsid w:val="00470A2C"/>
    <w:rsid w:val="00483393"/>
    <w:rsid w:val="00496FD7"/>
    <w:rsid w:val="004A1787"/>
    <w:rsid w:val="004C1DCF"/>
    <w:rsid w:val="0058049F"/>
    <w:rsid w:val="005A2CE9"/>
    <w:rsid w:val="005B2075"/>
    <w:rsid w:val="00672911"/>
    <w:rsid w:val="00673C16"/>
    <w:rsid w:val="00681804"/>
    <w:rsid w:val="006920BF"/>
    <w:rsid w:val="006A3856"/>
    <w:rsid w:val="006F390E"/>
    <w:rsid w:val="00706A1A"/>
    <w:rsid w:val="0071009D"/>
    <w:rsid w:val="007354DA"/>
    <w:rsid w:val="0073717D"/>
    <w:rsid w:val="00746FC5"/>
    <w:rsid w:val="007626E9"/>
    <w:rsid w:val="00762D7E"/>
    <w:rsid w:val="007662D4"/>
    <w:rsid w:val="007B3AAE"/>
    <w:rsid w:val="007F3F09"/>
    <w:rsid w:val="007F6490"/>
    <w:rsid w:val="008455D7"/>
    <w:rsid w:val="00881EDB"/>
    <w:rsid w:val="008A4781"/>
    <w:rsid w:val="008C5703"/>
    <w:rsid w:val="00902157"/>
    <w:rsid w:val="00931DC6"/>
    <w:rsid w:val="00982C26"/>
    <w:rsid w:val="009B7A55"/>
    <w:rsid w:val="009C2C41"/>
    <w:rsid w:val="00A16954"/>
    <w:rsid w:val="00A76804"/>
    <w:rsid w:val="00A908FB"/>
    <w:rsid w:val="00A947E2"/>
    <w:rsid w:val="00AB55F9"/>
    <w:rsid w:val="00AC10D4"/>
    <w:rsid w:val="00B020BF"/>
    <w:rsid w:val="00B460F6"/>
    <w:rsid w:val="00B57346"/>
    <w:rsid w:val="00BA11BF"/>
    <w:rsid w:val="00BF53AE"/>
    <w:rsid w:val="00C0754A"/>
    <w:rsid w:val="00C87801"/>
    <w:rsid w:val="00CA0560"/>
    <w:rsid w:val="00CA766F"/>
    <w:rsid w:val="00CB13C9"/>
    <w:rsid w:val="00CD21FF"/>
    <w:rsid w:val="00CF55C1"/>
    <w:rsid w:val="00D007BF"/>
    <w:rsid w:val="00D126E3"/>
    <w:rsid w:val="00D9379F"/>
    <w:rsid w:val="00DC67DD"/>
    <w:rsid w:val="00E25694"/>
    <w:rsid w:val="00E55A95"/>
    <w:rsid w:val="00E846C3"/>
    <w:rsid w:val="00EC4F94"/>
    <w:rsid w:val="00ED3B3B"/>
    <w:rsid w:val="00ED4EAA"/>
    <w:rsid w:val="00F13255"/>
    <w:rsid w:val="00F20B6C"/>
    <w:rsid w:val="00F4161B"/>
    <w:rsid w:val="00F6114F"/>
    <w:rsid w:val="00FB7D5A"/>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87E6CDA"/>
  <w15:docId w15:val="{323DB1E2-7AA4-40EB-9C0B-CA71AC9F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19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A1AFA-6E2E-49A1-BA22-3819026BF358}"/>
</file>

<file path=customXml/itemProps2.xml><?xml version="1.0" encoding="utf-8"?>
<ds:datastoreItem xmlns:ds="http://schemas.openxmlformats.org/officeDocument/2006/customXml" ds:itemID="{2E3FAB5E-C45C-4C75-BF97-2F3742B1E382}"/>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5</cp:revision>
  <dcterms:created xsi:type="dcterms:W3CDTF">2023-06-13T05:47:00Z</dcterms:created>
  <dcterms:modified xsi:type="dcterms:W3CDTF">2023-06-16T14:54:00Z</dcterms:modified>
</cp:coreProperties>
</file>