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D183A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C845827" w:rsidR="00ED183A" w:rsidRPr="00706A1A" w:rsidRDefault="00ED183A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22B1A3B7" w:rsidR="00ED183A" w:rsidRPr="002149D3" w:rsidRDefault="002904C8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Pediatric rehabilitation assistant</w:t>
            </w:r>
          </w:p>
        </w:tc>
      </w:tr>
      <w:tr w:rsidR="00ED183A" w:rsidRPr="00706A1A" w14:paraId="55E049A8" w14:textId="77777777" w:rsidTr="00316306">
        <w:tc>
          <w:tcPr>
            <w:tcW w:w="2178" w:type="dxa"/>
            <w:shd w:val="clear" w:color="auto" w:fill="D9E2F3"/>
          </w:tcPr>
          <w:p w14:paraId="741E57F5" w14:textId="77777777" w:rsidR="00ED183A" w:rsidRPr="00316306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3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2141A6" w14:textId="37FDB6AE" w:rsidR="00ED183A" w:rsidRPr="00A16C21" w:rsidRDefault="00B64D20" w:rsidP="00F950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Practitioner </w:t>
            </w:r>
            <w:r w:rsidR="00525925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responsible for </w:t>
            </w:r>
            <w:r w:rsidR="00E8035F">
              <w:rPr>
                <w:rFonts w:ascii="Arial" w:hAnsi="Arial" w:cs="Arial"/>
                <w:color w:val="000000"/>
                <w:sz w:val="20"/>
                <w:szCs w:val="20"/>
              </w:rPr>
              <w:t xml:space="preserve">assisting and </w:t>
            </w:r>
            <w:r w:rsidR="00525925" w:rsidRPr="00525925">
              <w:rPr>
                <w:rFonts w:ascii="Arial" w:hAnsi="Arial" w:cs="Arial"/>
                <w:color w:val="000000"/>
                <w:sz w:val="20"/>
                <w:szCs w:val="20"/>
              </w:rPr>
              <w:t xml:space="preserve">carrying out the prescribed treatment </w:t>
            </w:r>
            <w:r w:rsidR="00D56F2F">
              <w:rPr>
                <w:rFonts w:ascii="Arial" w:hAnsi="Arial" w:cs="Arial"/>
                <w:color w:val="000000"/>
                <w:sz w:val="20"/>
                <w:szCs w:val="20"/>
              </w:rPr>
              <w:t>under the supervision of</w:t>
            </w:r>
            <w:r w:rsidR="0078576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85768" w:rsidRPr="0068083D">
              <w:rPr>
                <w:rFonts w:ascii="Arial" w:hAnsi="Arial" w:cs="Arial"/>
                <w:color w:val="000000"/>
                <w:sz w:val="20"/>
                <w:szCs w:val="20"/>
              </w:rPr>
              <w:t>pediatric rehabilitation therapists</w:t>
            </w:r>
            <w:r w:rsidR="00FD37F1" w:rsidRPr="00FD37F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85768" w:rsidRPr="0068083D">
              <w:rPr>
                <w:rFonts w:ascii="Arial" w:hAnsi="Arial" w:cs="Arial"/>
                <w:color w:val="000000"/>
                <w:sz w:val="20"/>
                <w:szCs w:val="20"/>
              </w:rPr>
              <w:t>physicians, etc. to</w:t>
            </w:r>
            <w:r w:rsidR="007F0385" w:rsidRPr="0068083D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support</w:t>
            </w:r>
            <w:r w:rsidR="0068083D" w:rsidRPr="0068083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rehabilitation of children with physical, developmental, or cognitive disabilities</w:t>
            </w:r>
          </w:p>
        </w:tc>
      </w:tr>
      <w:tr w:rsidR="00ED183A" w:rsidRPr="00706A1A" w14:paraId="5F343715" w14:textId="77777777" w:rsidTr="00316306">
        <w:tc>
          <w:tcPr>
            <w:tcW w:w="2178" w:type="dxa"/>
            <w:shd w:val="clear" w:color="auto" w:fill="D9E2F3"/>
          </w:tcPr>
          <w:p w14:paraId="18768F65" w14:textId="77777777" w:rsidR="00ED183A" w:rsidRPr="00316306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63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9E7E3AA" w14:textId="590663CF" w:rsidR="00440256" w:rsidRPr="00440256" w:rsidRDefault="00440256" w:rsidP="004402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40256"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14683D">
              <w:rPr>
                <w:rFonts w:ascii="Arial" w:hAnsi="Arial" w:cs="Arial"/>
                <w:sz w:val="20"/>
                <w:szCs w:val="20"/>
              </w:rPr>
              <w:t xml:space="preserve">and follow the </w:t>
            </w:r>
            <w:r w:rsidRPr="00440256">
              <w:rPr>
                <w:rFonts w:ascii="Arial" w:hAnsi="Arial" w:cs="Arial"/>
                <w:sz w:val="20"/>
                <w:szCs w:val="20"/>
              </w:rPr>
              <w:t>rehabilitation program with the</w:t>
            </w:r>
            <w:r w:rsidR="00311280">
              <w:rPr>
                <w:rFonts w:ascii="Arial" w:hAnsi="Arial" w:cs="Arial"/>
                <w:sz w:val="20"/>
                <w:szCs w:val="20"/>
              </w:rPr>
              <w:t xml:space="preserve"> patient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 as directed by the </w:t>
            </w:r>
            <w:r w:rsidR="00311280">
              <w:rPr>
                <w:rFonts w:ascii="Arial" w:hAnsi="Arial" w:cs="Arial"/>
                <w:sz w:val="20"/>
                <w:szCs w:val="20"/>
              </w:rPr>
              <w:t>p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hysiotherapist, </w:t>
            </w:r>
            <w:r w:rsidR="00311280">
              <w:rPr>
                <w:rFonts w:ascii="Arial" w:hAnsi="Arial" w:cs="Arial"/>
                <w:sz w:val="20"/>
                <w:szCs w:val="20"/>
              </w:rPr>
              <w:t>o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ccupational </w:t>
            </w:r>
            <w:r w:rsidR="00311280">
              <w:rPr>
                <w:rFonts w:ascii="Arial" w:hAnsi="Arial" w:cs="Arial"/>
                <w:sz w:val="20"/>
                <w:szCs w:val="20"/>
              </w:rPr>
              <w:t>t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herapist, and/or </w:t>
            </w:r>
            <w:r w:rsidR="00311280">
              <w:rPr>
                <w:rFonts w:ascii="Arial" w:hAnsi="Arial" w:cs="Arial"/>
                <w:sz w:val="20"/>
                <w:szCs w:val="20"/>
              </w:rPr>
              <w:t>s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peech and </w:t>
            </w:r>
            <w:r w:rsidR="00311280">
              <w:rPr>
                <w:rFonts w:ascii="Arial" w:hAnsi="Arial" w:cs="Arial"/>
                <w:sz w:val="20"/>
                <w:szCs w:val="20"/>
              </w:rPr>
              <w:t>l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anguage </w:t>
            </w:r>
            <w:r w:rsidR="00311280">
              <w:rPr>
                <w:rFonts w:ascii="Arial" w:hAnsi="Arial" w:cs="Arial"/>
                <w:sz w:val="20"/>
                <w:szCs w:val="20"/>
              </w:rPr>
              <w:t>p</w:t>
            </w:r>
            <w:r w:rsidRPr="00440256">
              <w:rPr>
                <w:rFonts w:ascii="Arial" w:hAnsi="Arial" w:cs="Arial"/>
                <w:sz w:val="20"/>
                <w:szCs w:val="20"/>
              </w:rPr>
              <w:t>athologist</w:t>
            </w:r>
            <w:r w:rsidR="0014683D"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5C10B678" w14:textId="77777777" w:rsidR="000B0030" w:rsidRPr="00440256" w:rsidRDefault="000B0030" w:rsidP="000B003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Carry out 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behavioral interventions with the </w:t>
            </w:r>
            <w:r>
              <w:rPr>
                <w:rFonts w:ascii="Arial" w:hAnsi="Arial" w:cs="Arial"/>
                <w:sz w:val="20"/>
                <w:szCs w:val="20"/>
              </w:rPr>
              <w:t>patient and monitor responses</w:t>
            </w:r>
          </w:p>
          <w:p w14:paraId="3F381F2F" w14:textId="3A8CDE3C" w:rsidR="00440256" w:rsidRPr="00440256" w:rsidRDefault="00440256" w:rsidP="004402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40256">
              <w:rPr>
                <w:rFonts w:ascii="Arial" w:hAnsi="Arial" w:cs="Arial"/>
                <w:sz w:val="20"/>
                <w:szCs w:val="20"/>
              </w:rPr>
              <w:t>Implement exercise programs or group exercise classes</w:t>
            </w:r>
            <w:r w:rsidR="004B122F">
              <w:rPr>
                <w:rFonts w:ascii="Arial" w:hAnsi="Arial" w:cs="Arial"/>
                <w:sz w:val="20"/>
                <w:szCs w:val="20"/>
              </w:rPr>
              <w:t>,</w:t>
            </w:r>
            <w:r w:rsidRPr="00440256">
              <w:rPr>
                <w:rFonts w:ascii="Arial" w:hAnsi="Arial" w:cs="Arial"/>
                <w:sz w:val="20"/>
                <w:szCs w:val="20"/>
              </w:rPr>
              <w:t xml:space="preserve"> as directed</w:t>
            </w:r>
          </w:p>
          <w:p w14:paraId="384FBA83" w14:textId="7F88FEB3" w:rsidR="00440256" w:rsidRDefault="00440256" w:rsidP="004402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40256">
              <w:rPr>
                <w:rFonts w:ascii="Arial" w:hAnsi="Arial" w:cs="Arial"/>
                <w:sz w:val="20"/>
                <w:szCs w:val="20"/>
              </w:rPr>
              <w:t>Facilitate social re-integration</w:t>
            </w:r>
            <w:r w:rsidR="00627827">
              <w:rPr>
                <w:rFonts w:ascii="Arial" w:hAnsi="Arial" w:cs="Arial"/>
                <w:sz w:val="20"/>
                <w:szCs w:val="20"/>
              </w:rPr>
              <w:t>, educational and vocational re-integration</w:t>
            </w:r>
            <w:r w:rsidR="0078209A">
              <w:rPr>
                <w:rFonts w:ascii="Arial" w:hAnsi="Arial" w:cs="Arial"/>
                <w:sz w:val="20"/>
                <w:szCs w:val="20"/>
              </w:rPr>
              <w:t>, cognitive therapy program</w:t>
            </w:r>
            <w:r w:rsidR="00026BDE">
              <w:rPr>
                <w:rFonts w:ascii="Arial" w:hAnsi="Arial" w:cs="Arial"/>
                <w:sz w:val="20"/>
                <w:szCs w:val="20"/>
              </w:rPr>
              <w:t xml:space="preserve">, etc. </w:t>
            </w:r>
            <w:r w:rsidRPr="00440256">
              <w:rPr>
                <w:rFonts w:ascii="Arial" w:hAnsi="Arial" w:cs="Arial"/>
                <w:sz w:val="20"/>
                <w:szCs w:val="20"/>
              </w:rPr>
              <w:t>as directed</w:t>
            </w:r>
          </w:p>
          <w:p w14:paraId="180CB04D" w14:textId="0D831CF4" w:rsidR="00B6455F" w:rsidRPr="00440256" w:rsidRDefault="00B6455F" w:rsidP="004402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6455F">
              <w:rPr>
                <w:rFonts w:ascii="Arial" w:hAnsi="Arial" w:cs="Arial"/>
                <w:sz w:val="20"/>
                <w:szCs w:val="20"/>
              </w:rPr>
              <w:t>Report back to relevant staff on patient’s</w:t>
            </w:r>
            <w:r w:rsidRPr="00482B20">
              <w:rPr>
                <w:rFonts w:ascii="Arial" w:hAnsi="Arial" w:cs="Arial"/>
                <w:sz w:val="20"/>
                <w:szCs w:val="20"/>
              </w:rPr>
              <w:t xml:space="preserve"> progres</w:t>
            </w:r>
            <w:r w:rsidR="00482B20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27D75A2" w14:textId="7CD67DEA" w:rsidR="00440256" w:rsidRPr="00440256" w:rsidRDefault="007A5908" w:rsidP="004402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40256" w:rsidRPr="00440256">
              <w:rPr>
                <w:rFonts w:ascii="Arial" w:hAnsi="Arial" w:cs="Arial"/>
                <w:sz w:val="20"/>
                <w:szCs w:val="20"/>
              </w:rPr>
              <w:t xml:space="preserve">otify immediate </w:t>
            </w:r>
            <w:r w:rsidR="00407D44">
              <w:rPr>
                <w:rFonts w:ascii="Arial" w:hAnsi="Arial" w:cs="Arial"/>
                <w:sz w:val="20"/>
                <w:szCs w:val="20"/>
              </w:rPr>
              <w:t>s</w:t>
            </w:r>
            <w:r w:rsidR="00440256" w:rsidRPr="00440256">
              <w:rPr>
                <w:rFonts w:ascii="Arial" w:hAnsi="Arial" w:cs="Arial"/>
                <w:sz w:val="20"/>
                <w:szCs w:val="20"/>
              </w:rPr>
              <w:t xml:space="preserve">upervisor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440256" w:rsidRPr="00440256">
              <w:rPr>
                <w:rFonts w:ascii="Arial" w:hAnsi="Arial" w:cs="Arial"/>
                <w:sz w:val="20"/>
                <w:szCs w:val="20"/>
              </w:rPr>
              <w:t xml:space="preserve"> any </w:t>
            </w:r>
            <w:r w:rsidR="0078209A">
              <w:rPr>
                <w:rFonts w:ascii="Arial" w:hAnsi="Arial" w:cs="Arial"/>
                <w:sz w:val="20"/>
                <w:szCs w:val="20"/>
              </w:rPr>
              <w:t>h</w:t>
            </w:r>
            <w:r w:rsidR="00440256" w:rsidRPr="00440256">
              <w:rPr>
                <w:rFonts w:ascii="Arial" w:hAnsi="Arial" w:cs="Arial"/>
                <w:sz w:val="20"/>
                <w:szCs w:val="20"/>
              </w:rPr>
              <w:t xml:space="preserve">ealth &amp; </w:t>
            </w:r>
            <w:r w:rsidR="0078209A">
              <w:rPr>
                <w:rFonts w:ascii="Arial" w:hAnsi="Arial" w:cs="Arial"/>
                <w:sz w:val="20"/>
                <w:szCs w:val="20"/>
              </w:rPr>
              <w:t>s</w:t>
            </w:r>
            <w:r w:rsidR="00440256" w:rsidRPr="00440256">
              <w:rPr>
                <w:rFonts w:ascii="Arial" w:hAnsi="Arial" w:cs="Arial"/>
                <w:sz w:val="20"/>
                <w:szCs w:val="20"/>
              </w:rPr>
              <w:t>afety risks or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patient</w:t>
            </w:r>
          </w:p>
          <w:p w14:paraId="58B62848" w14:textId="747AF77E" w:rsidR="00D43A01" w:rsidRPr="0079053F" w:rsidRDefault="00440256" w:rsidP="0044025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9053F">
              <w:rPr>
                <w:rFonts w:ascii="Arial" w:hAnsi="Arial" w:cs="Arial"/>
                <w:sz w:val="20"/>
                <w:szCs w:val="20"/>
              </w:rPr>
              <w:t>Maintai</w:t>
            </w:r>
            <w:r w:rsidR="0078209A" w:rsidRPr="0079053F">
              <w:rPr>
                <w:rFonts w:ascii="Arial" w:hAnsi="Arial" w:cs="Arial"/>
                <w:sz w:val="20"/>
                <w:szCs w:val="20"/>
              </w:rPr>
              <w:t>n</w:t>
            </w:r>
            <w:r w:rsidRPr="00790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CFA" w:rsidRPr="0079053F">
              <w:rPr>
                <w:rFonts w:ascii="Arial" w:hAnsi="Arial" w:cs="Arial"/>
                <w:sz w:val="20"/>
                <w:szCs w:val="20"/>
              </w:rPr>
              <w:t>appropriate treatment records</w:t>
            </w:r>
            <w:r w:rsidR="0079053F" w:rsidRPr="0079053F">
              <w:rPr>
                <w:rFonts w:ascii="Arial" w:hAnsi="Arial" w:cs="Arial"/>
                <w:sz w:val="20"/>
                <w:szCs w:val="20"/>
              </w:rPr>
              <w:t xml:space="preserve"> in accordance with </w:t>
            </w:r>
            <w:r w:rsidR="00796280">
              <w:rPr>
                <w:rFonts w:ascii="Arial" w:hAnsi="Arial" w:cs="Arial"/>
                <w:sz w:val="20"/>
                <w:szCs w:val="20"/>
              </w:rPr>
              <w:t>specified</w:t>
            </w:r>
            <w:r w:rsidR="0079053F" w:rsidRPr="0079053F">
              <w:rPr>
                <w:rFonts w:ascii="Arial" w:hAnsi="Arial" w:cs="Arial"/>
                <w:sz w:val="20"/>
                <w:szCs w:val="20"/>
              </w:rPr>
              <w:t xml:space="preserve"> policies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31630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31630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31630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316306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316306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316306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316306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31630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775FF0D4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31630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31630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31630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6D30C663" w14:textId="77777777" w:rsidTr="0031630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6EAFF2AA" w14:textId="77777777" w:rsidTr="0031630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7C36BF6F" w:rsidR="00EC4F94" w:rsidRDefault="00316306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51836182">
          <v:shape id="_x0000_s1039" type="#_x0000_t75" alt="A screenshot of a computer&#10;&#10;Description automatically generated with medium confidence" style="position:absolute;margin-left:-44.65pt;margin-top:.05pt;width:611.1pt;height:796pt;z-index:-251658239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6886" w14:textId="77777777" w:rsidR="0013309F" w:rsidRDefault="0013309F" w:rsidP="0071009D">
      <w:r>
        <w:separator/>
      </w:r>
    </w:p>
  </w:endnote>
  <w:endnote w:type="continuationSeparator" w:id="0">
    <w:p w14:paraId="45EFD8C2" w14:textId="77777777" w:rsidR="0013309F" w:rsidRDefault="0013309F" w:rsidP="0071009D">
      <w:r>
        <w:continuationSeparator/>
      </w:r>
    </w:p>
  </w:endnote>
  <w:endnote w:type="continuationNotice" w:id="1">
    <w:p w14:paraId="576EDA39" w14:textId="77777777" w:rsidR="0013309F" w:rsidRDefault="00133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9934" w14:textId="77777777" w:rsidR="0013309F" w:rsidRDefault="0013309F" w:rsidP="0071009D">
      <w:r>
        <w:separator/>
      </w:r>
    </w:p>
  </w:footnote>
  <w:footnote w:type="continuationSeparator" w:id="0">
    <w:p w14:paraId="08F88FE7" w14:textId="77777777" w:rsidR="0013309F" w:rsidRDefault="0013309F" w:rsidP="0071009D">
      <w:r>
        <w:continuationSeparator/>
      </w:r>
    </w:p>
  </w:footnote>
  <w:footnote w:type="continuationNotice" w:id="1">
    <w:p w14:paraId="3D391D72" w14:textId="77777777" w:rsidR="0013309F" w:rsidRDefault="00133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NotTrackMoves/>
  <w:defaultTabStop w:val="720"/>
  <w:characterSpacingControl w:val="doNotCompress"/>
  <w:hdrShapeDefaults>
    <o:shapedefaults v:ext="edit" spidmax="10241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D"/>
    <w:rsid w:val="00012603"/>
    <w:rsid w:val="00026BDE"/>
    <w:rsid w:val="0003560C"/>
    <w:rsid w:val="0004351B"/>
    <w:rsid w:val="0004626B"/>
    <w:rsid w:val="00057B48"/>
    <w:rsid w:val="00066358"/>
    <w:rsid w:val="000828E6"/>
    <w:rsid w:val="000963BD"/>
    <w:rsid w:val="000B0030"/>
    <w:rsid w:val="000B5550"/>
    <w:rsid w:val="000E03D3"/>
    <w:rsid w:val="000E32B5"/>
    <w:rsid w:val="000E33FC"/>
    <w:rsid w:val="00104EA2"/>
    <w:rsid w:val="0013309F"/>
    <w:rsid w:val="00135334"/>
    <w:rsid w:val="001369D1"/>
    <w:rsid w:val="00141FAD"/>
    <w:rsid w:val="0014683D"/>
    <w:rsid w:val="00146855"/>
    <w:rsid w:val="0018579A"/>
    <w:rsid w:val="00192407"/>
    <w:rsid w:val="001E6007"/>
    <w:rsid w:val="001E6FCF"/>
    <w:rsid w:val="001F4C6A"/>
    <w:rsid w:val="002018E2"/>
    <w:rsid w:val="00206CA0"/>
    <w:rsid w:val="002149D3"/>
    <w:rsid w:val="00243EDD"/>
    <w:rsid w:val="00254D40"/>
    <w:rsid w:val="00254DF1"/>
    <w:rsid w:val="0025520A"/>
    <w:rsid w:val="002904C8"/>
    <w:rsid w:val="002A0AE0"/>
    <w:rsid w:val="002B0483"/>
    <w:rsid w:val="002B2B38"/>
    <w:rsid w:val="002D2B5D"/>
    <w:rsid w:val="002F36D6"/>
    <w:rsid w:val="002F7DE9"/>
    <w:rsid w:val="00311280"/>
    <w:rsid w:val="00316306"/>
    <w:rsid w:val="003410FF"/>
    <w:rsid w:val="003425F8"/>
    <w:rsid w:val="0036037A"/>
    <w:rsid w:val="00366456"/>
    <w:rsid w:val="00367925"/>
    <w:rsid w:val="003840AE"/>
    <w:rsid w:val="003B09A0"/>
    <w:rsid w:val="003B2828"/>
    <w:rsid w:val="003B6733"/>
    <w:rsid w:val="003E5311"/>
    <w:rsid w:val="003F0F2D"/>
    <w:rsid w:val="00401F88"/>
    <w:rsid w:val="00407D44"/>
    <w:rsid w:val="00414A90"/>
    <w:rsid w:val="00422F66"/>
    <w:rsid w:val="00431197"/>
    <w:rsid w:val="00440256"/>
    <w:rsid w:val="00440BAD"/>
    <w:rsid w:val="00444C2E"/>
    <w:rsid w:val="004528DA"/>
    <w:rsid w:val="004605C8"/>
    <w:rsid w:val="00461912"/>
    <w:rsid w:val="00482B20"/>
    <w:rsid w:val="00483393"/>
    <w:rsid w:val="00485190"/>
    <w:rsid w:val="00496FD7"/>
    <w:rsid w:val="004A28E7"/>
    <w:rsid w:val="004B122F"/>
    <w:rsid w:val="004B1BD0"/>
    <w:rsid w:val="004D3D2B"/>
    <w:rsid w:val="004D56AD"/>
    <w:rsid w:val="004E28AB"/>
    <w:rsid w:val="00505418"/>
    <w:rsid w:val="00525925"/>
    <w:rsid w:val="00525F79"/>
    <w:rsid w:val="005776AA"/>
    <w:rsid w:val="005B2075"/>
    <w:rsid w:val="005C2F63"/>
    <w:rsid w:val="005E10A0"/>
    <w:rsid w:val="00601AF3"/>
    <w:rsid w:val="00620880"/>
    <w:rsid w:val="00627827"/>
    <w:rsid w:val="00645E47"/>
    <w:rsid w:val="0068083D"/>
    <w:rsid w:val="00681804"/>
    <w:rsid w:val="0068186F"/>
    <w:rsid w:val="006A1ADF"/>
    <w:rsid w:val="0070619E"/>
    <w:rsid w:val="00706A1A"/>
    <w:rsid w:val="0071009D"/>
    <w:rsid w:val="007354DA"/>
    <w:rsid w:val="00761B68"/>
    <w:rsid w:val="007626E9"/>
    <w:rsid w:val="00762D7E"/>
    <w:rsid w:val="007662D4"/>
    <w:rsid w:val="0078209A"/>
    <w:rsid w:val="00785768"/>
    <w:rsid w:val="0079053F"/>
    <w:rsid w:val="007912DA"/>
    <w:rsid w:val="00796280"/>
    <w:rsid w:val="007A293B"/>
    <w:rsid w:val="007A5908"/>
    <w:rsid w:val="007B4FCC"/>
    <w:rsid w:val="007E7509"/>
    <w:rsid w:val="007F0385"/>
    <w:rsid w:val="007F3F09"/>
    <w:rsid w:val="00810B1A"/>
    <w:rsid w:val="00831C6B"/>
    <w:rsid w:val="00840141"/>
    <w:rsid w:val="008455D7"/>
    <w:rsid w:val="00886276"/>
    <w:rsid w:val="008A3367"/>
    <w:rsid w:val="008C1CFA"/>
    <w:rsid w:val="008C5703"/>
    <w:rsid w:val="0090419D"/>
    <w:rsid w:val="00912C5D"/>
    <w:rsid w:val="00931DC6"/>
    <w:rsid w:val="00970F79"/>
    <w:rsid w:val="009B33B8"/>
    <w:rsid w:val="009C478E"/>
    <w:rsid w:val="00A119B5"/>
    <w:rsid w:val="00A16C21"/>
    <w:rsid w:val="00A351F0"/>
    <w:rsid w:val="00A63E6D"/>
    <w:rsid w:val="00A65962"/>
    <w:rsid w:val="00A76804"/>
    <w:rsid w:val="00A90B6F"/>
    <w:rsid w:val="00A947E2"/>
    <w:rsid w:val="00AA0059"/>
    <w:rsid w:val="00AB347A"/>
    <w:rsid w:val="00AE07E9"/>
    <w:rsid w:val="00B020BF"/>
    <w:rsid w:val="00B1103C"/>
    <w:rsid w:val="00B1578E"/>
    <w:rsid w:val="00B23391"/>
    <w:rsid w:val="00B37C98"/>
    <w:rsid w:val="00B57346"/>
    <w:rsid w:val="00B6455F"/>
    <w:rsid w:val="00B64D20"/>
    <w:rsid w:val="00B72765"/>
    <w:rsid w:val="00BA11BF"/>
    <w:rsid w:val="00BC10DC"/>
    <w:rsid w:val="00BD43AD"/>
    <w:rsid w:val="00BD7E9F"/>
    <w:rsid w:val="00BF53AE"/>
    <w:rsid w:val="00C0754A"/>
    <w:rsid w:val="00C10D5E"/>
    <w:rsid w:val="00C43BB9"/>
    <w:rsid w:val="00C6054A"/>
    <w:rsid w:val="00C64E29"/>
    <w:rsid w:val="00C6700F"/>
    <w:rsid w:val="00C74485"/>
    <w:rsid w:val="00C87801"/>
    <w:rsid w:val="00C93AA3"/>
    <w:rsid w:val="00CB13C9"/>
    <w:rsid w:val="00CB61CF"/>
    <w:rsid w:val="00CE14B1"/>
    <w:rsid w:val="00CF7446"/>
    <w:rsid w:val="00D27DA4"/>
    <w:rsid w:val="00D43A01"/>
    <w:rsid w:val="00D50CCD"/>
    <w:rsid w:val="00D56F2F"/>
    <w:rsid w:val="00D64B12"/>
    <w:rsid w:val="00D73786"/>
    <w:rsid w:val="00D8491E"/>
    <w:rsid w:val="00D9379F"/>
    <w:rsid w:val="00DB5DB9"/>
    <w:rsid w:val="00DC5ABE"/>
    <w:rsid w:val="00DE7C57"/>
    <w:rsid w:val="00DF4D5B"/>
    <w:rsid w:val="00E1483B"/>
    <w:rsid w:val="00E25694"/>
    <w:rsid w:val="00E55A95"/>
    <w:rsid w:val="00E8035F"/>
    <w:rsid w:val="00E846C3"/>
    <w:rsid w:val="00EB2E47"/>
    <w:rsid w:val="00EC4F94"/>
    <w:rsid w:val="00ED183A"/>
    <w:rsid w:val="00ED3B3B"/>
    <w:rsid w:val="00ED4EAA"/>
    <w:rsid w:val="00EE76F4"/>
    <w:rsid w:val="00EF225F"/>
    <w:rsid w:val="00F04E8F"/>
    <w:rsid w:val="00F078B2"/>
    <w:rsid w:val="00F13255"/>
    <w:rsid w:val="00F14356"/>
    <w:rsid w:val="00F20B6C"/>
    <w:rsid w:val="00F35417"/>
    <w:rsid w:val="00F43534"/>
    <w:rsid w:val="00F56412"/>
    <w:rsid w:val="00F57D09"/>
    <w:rsid w:val="00F6114F"/>
    <w:rsid w:val="00F9501B"/>
    <w:rsid w:val="00F9635D"/>
    <w:rsid w:val="00FA3819"/>
    <w:rsid w:val="00FB7D5A"/>
    <w:rsid w:val="00FD37F1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FD4914A8-D8BE-4CD2-831A-A693C72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331E8-E447-4BDF-8D98-3D0C59056492}"/>
</file>

<file path=customXml/itemProps4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schemas.microsoft.com/office/2006/documentManagement/types"/>
    <ds:schemaRef ds:uri="cdb7d521-ec3b-43c2-af5c-470a246deabb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59</cp:revision>
  <cp:lastPrinted>2022-04-06T18:54:00Z</cp:lastPrinted>
  <dcterms:created xsi:type="dcterms:W3CDTF">2023-06-01T05:26:00Z</dcterms:created>
  <dcterms:modified xsi:type="dcterms:W3CDTF">2023-06-12T08:23:00Z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